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8177" w:type="dxa"/>
        <w:jc w:val="center"/>
        <w:tblLook w:val="04A0" w:firstRow="1" w:lastRow="0" w:firstColumn="1" w:lastColumn="0" w:noHBand="0" w:noVBand="1"/>
      </w:tblPr>
      <w:tblGrid>
        <w:gridCol w:w="8177"/>
      </w:tblGrid>
      <w:tr w:rsidR="00136F89" w14:paraId="4BB2142F" w14:textId="77777777">
        <w:trPr>
          <w:trHeight w:val="1701"/>
          <w:jc w:val="center"/>
        </w:trPr>
        <w:tc>
          <w:tcPr>
            <w:tcW w:w="8177" w:type="dxa"/>
            <w:vAlign w:val="center"/>
          </w:tcPr>
          <w:p w14:paraId="35E5CB39" w14:textId="77777777" w:rsidR="00136F89" w:rsidRDefault="0090020D">
            <w:pPr>
              <w:spacing w:line="360" w:lineRule="auto"/>
              <w:jc w:val="center"/>
              <w:rPr>
                <w:rFonts w:eastAsia="黑体"/>
                <w:spacing w:val="20"/>
                <w:sz w:val="32"/>
                <w:szCs w:val="32"/>
              </w:rPr>
            </w:pPr>
            <w:r>
              <w:rPr>
                <w:rFonts w:eastAsia="黑体" w:hint="eastAsia"/>
                <w:spacing w:val="20"/>
                <w:sz w:val="32"/>
              </w:rPr>
              <w:t>中国核学会团体</w:t>
            </w:r>
            <w:r>
              <w:rPr>
                <w:rFonts w:eastAsia="黑体"/>
                <w:spacing w:val="20"/>
                <w:sz w:val="32"/>
              </w:rPr>
              <w:t>标准</w:t>
            </w:r>
          </w:p>
        </w:tc>
      </w:tr>
      <w:tr w:rsidR="00136F89" w14:paraId="34B513C5" w14:textId="77777777">
        <w:trPr>
          <w:trHeight w:val="4535"/>
          <w:jc w:val="center"/>
        </w:trPr>
        <w:tc>
          <w:tcPr>
            <w:tcW w:w="8177" w:type="dxa"/>
            <w:vAlign w:val="center"/>
          </w:tcPr>
          <w:p w14:paraId="09BD3E0C" w14:textId="77777777" w:rsidR="00136F89" w:rsidRDefault="0090020D">
            <w:pPr>
              <w:spacing w:line="720" w:lineRule="auto"/>
              <w:jc w:val="center"/>
              <w:rPr>
                <w:rFonts w:eastAsia="黑体" w:cs="黑体"/>
                <w:spacing w:val="20"/>
                <w:sz w:val="44"/>
                <w:szCs w:val="44"/>
              </w:rPr>
            </w:pPr>
            <w:r>
              <w:rPr>
                <w:rFonts w:eastAsia="黑体" w:cs="黑体" w:hint="eastAsia"/>
                <w:spacing w:val="20"/>
                <w:sz w:val="44"/>
                <w:szCs w:val="44"/>
              </w:rPr>
              <w:t>铀裂变瞬发中子测井规范</w:t>
            </w:r>
          </w:p>
          <w:p w14:paraId="3C020636" w14:textId="77777777" w:rsidR="00136F89" w:rsidRDefault="0090020D">
            <w:pPr>
              <w:spacing w:line="720" w:lineRule="auto"/>
              <w:jc w:val="center"/>
              <w:rPr>
                <w:rFonts w:eastAsia="黑体"/>
                <w:spacing w:val="20"/>
                <w:sz w:val="44"/>
                <w:szCs w:val="44"/>
              </w:rPr>
            </w:pPr>
            <w:r>
              <w:rPr>
                <w:rFonts w:eastAsia="黑体" w:cs="黑体" w:hint="eastAsia"/>
                <w:spacing w:val="20"/>
                <w:sz w:val="44"/>
                <w:szCs w:val="44"/>
              </w:rPr>
              <w:t>（征求意见稿）</w:t>
            </w:r>
          </w:p>
        </w:tc>
      </w:tr>
      <w:tr w:rsidR="00136F89" w14:paraId="7EA619CA" w14:textId="77777777">
        <w:trPr>
          <w:trHeight w:val="4535"/>
          <w:jc w:val="center"/>
        </w:trPr>
        <w:tc>
          <w:tcPr>
            <w:tcW w:w="8177" w:type="dxa"/>
            <w:vAlign w:val="center"/>
          </w:tcPr>
          <w:p w14:paraId="21C4315A" w14:textId="77777777" w:rsidR="00136F89" w:rsidRDefault="0090020D">
            <w:pPr>
              <w:spacing w:line="360" w:lineRule="auto"/>
              <w:jc w:val="center"/>
              <w:rPr>
                <w:rFonts w:eastAsia="黑体"/>
                <w:spacing w:val="20"/>
                <w:sz w:val="44"/>
                <w:szCs w:val="44"/>
              </w:rPr>
            </w:pPr>
            <w:r>
              <w:rPr>
                <w:rFonts w:eastAsia="黑体" w:hint="eastAsia"/>
                <w:spacing w:val="20"/>
                <w:sz w:val="44"/>
                <w:szCs w:val="32"/>
              </w:rPr>
              <w:t>编制说明</w:t>
            </w:r>
          </w:p>
        </w:tc>
      </w:tr>
      <w:tr w:rsidR="00136F89" w14:paraId="24593AEB" w14:textId="77777777">
        <w:trPr>
          <w:trHeight w:val="2835"/>
          <w:jc w:val="center"/>
        </w:trPr>
        <w:tc>
          <w:tcPr>
            <w:tcW w:w="8177" w:type="dxa"/>
            <w:vAlign w:val="center"/>
          </w:tcPr>
          <w:p w14:paraId="45386141" w14:textId="77777777" w:rsidR="00136F89" w:rsidRDefault="0090020D">
            <w:pPr>
              <w:spacing w:line="360" w:lineRule="auto"/>
              <w:jc w:val="center"/>
              <w:rPr>
                <w:rFonts w:eastAsia="黑体"/>
                <w:spacing w:val="20"/>
                <w:sz w:val="32"/>
              </w:rPr>
            </w:pPr>
            <w:r>
              <w:rPr>
                <w:rFonts w:eastAsia="黑体" w:hint="eastAsia"/>
                <w:spacing w:val="20"/>
                <w:sz w:val="32"/>
              </w:rPr>
              <w:t>标准起草工作组</w:t>
            </w:r>
          </w:p>
          <w:p w14:paraId="1EF7D2A8" w14:textId="77777777" w:rsidR="00136F89" w:rsidRDefault="0090020D">
            <w:pPr>
              <w:spacing w:line="360" w:lineRule="auto"/>
              <w:jc w:val="center"/>
              <w:rPr>
                <w:rFonts w:eastAsia="黑体"/>
                <w:sz w:val="28"/>
                <w:szCs w:val="28"/>
              </w:rPr>
            </w:pPr>
            <w:r>
              <w:rPr>
                <w:rFonts w:eastAsia="黑体" w:hint="eastAsia"/>
                <w:spacing w:val="20"/>
                <w:sz w:val="32"/>
              </w:rPr>
              <w:t>二〇二六年一月</w:t>
            </w:r>
          </w:p>
        </w:tc>
      </w:tr>
    </w:tbl>
    <w:p w14:paraId="0E361294" w14:textId="77777777" w:rsidR="00136F89" w:rsidRDefault="00136F89">
      <w:pPr>
        <w:snapToGrid w:val="0"/>
        <w:jc w:val="center"/>
        <w:rPr>
          <w:rFonts w:ascii="黑体" w:eastAsia="黑体"/>
          <w:spacing w:val="20"/>
          <w:sz w:val="30"/>
          <w:szCs w:val="30"/>
        </w:rPr>
        <w:sectPr w:rsidR="00136F89">
          <w:footerReference w:type="default" r:id="rId8"/>
          <w:pgSz w:w="11906" w:h="16838"/>
          <w:pgMar w:top="1440" w:right="1800" w:bottom="1440" w:left="1800" w:header="851" w:footer="992" w:gutter="0"/>
          <w:cols w:space="425"/>
          <w:docGrid w:type="lines" w:linePitch="312"/>
        </w:sectPr>
      </w:pPr>
    </w:p>
    <w:p w14:paraId="4B737D00" w14:textId="77777777" w:rsidR="00136F89" w:rsidRDefault="00136F89">
      <w:pPr>
        <w:snapToGrid w:val="0"/>
        <w:jc w:val="center"/>
        <w:rPr>
          <w:rFonts w:ascii="黑体" w:eastAsia="黑体"/>
          <w:spacing w:val="20"/>
          <w:sz w:val="30"/>
          <w:szCs w:val="30"/>
        </w:rPr>
      </w:pPr>
    </w:p>
    <w:p w14:paraId="288F3C8C" w14:textId="77777777" w:rsidR="00136F89" w:rsidRDefault="0090020D">
      <w:pPr>
        <w:snapToGrid w:val="0"/>
        <w:jc w:val="center"/>
        <w:rPr>
          <w:rFonts w:ascii="黑体" w:eastAsia="黑体"/>
          <w:sz w:val="32"/>
          <w:szCs w:val="32"/>
        </w:rPr>
      </w:pPr>
      <w:bookmarkStart w:id="0" w:name="_Hlk221712749"/>
      <w:r>
        <w:rPr>
          <w:rFonts w:ascii="黑体" w:eastAsia="黑体" w:hint="eastAsia"/>
          <w:spacing w:val="20"/>
          <w:sz w:val="32"/>
          <w:szCs w:val="30"/>
        </w:rPr>
        <w:t>铀裂变瞬发中子测井规范</w:t>
      </w:r>
    </w:p>
    <w:bookmarkEnd w:id="0"/>
    <w:p w14:paraId="1A128EA5" w14:textId="77777777" w:rsidR="00136F89" w:rsidRDefault="0090020D">
      <w:pPr>
        <w:numPr>
          <w:ilvl w:val="0"/>
          <w:numId w:val="1"/>
        </w:numPr>
        <w:spacing w:before="240" w:after="240" w:line="360" w:lineRule="auto"/>
        <w:rPr>
          <w:rFonts w:eastAsia="黑体"/>
          <w:sz w:val="28"/>
          <w:szCs w:val="28"/>
        </w:rPr>
      </w:pPr>
      <w:r>
        <w:rPr>
          <w:rFonts w:eastAsia="黑体" w:hint="eastAsia"/>
          <w:sz w:val="28"/>
          <w:szCs w:val="28"/>
        </w:rPr>
        <w:t>工作简况</w:t>
      </w:r>
    </w:p>
    <w:p w14:paraId="54F703DE" w14:textId="77777777" w:rsidR="00136F89" w:rsidRDefault="0090020D">
      <w:pPr>
        <w:pStyle w:val="af6"/>
        <w:numPr>
          <w:ilvl w:val="0"/>
          <w:numId w:val="2"/>
        </w:numPr>
        <w:spacing w:before="240" w:after="240" w:line="360" w:lineRule="auto"/>
        <w:ind w:firstLineChars="0"/>
        <w:rPr>
          <w:rFonts w:ascii="黑体" w:eastAsia="黑体" w:hAnsi="黑体"/>
          <w:kern w:val="0"/>
        </w:rPr>
      </w:pPr>
      <w:r>
        <w:rPr>
          <w:rFonts w:ascii="黑体" w:eastAsia="黑体" w:hAnsi="黑体" w:hint="eastAsia"/>
          <w:kern w:val="0"/>
        </w:rPr>
        <w:t>任务</w:t>
      </w:r>
      <w:r>
        <w:rPr>
          <w:rFonts w:ascii="黑体" w:eastAsia="黑体" w:hAnsi="黑体"/>
          <w:kern w:val="0"/>
        </w:rPr>
        <w:t>来源</w:t>
      </w:r>
    </w:p>
    <w:p w14:paraId="235C30C5" w14:textId="49A8FB8D" w:rsidR="00136F89" w:rsidRDefault="00175B8B">
      <w:pPr>
        <w:spacing w:line="360" w:lineRule="auto"/>
        <w:ind w:firstLineChars="200" w:firstLine="480"/>
        <w:rPr>
          <w:rFonts w:ascii="宋体" w:hAnsi="宋体"/>
          <w:color w:val="000000"/>
          <w:kern w:val="0"/>
        </w:rPr>
      </w:pPr>
      <w:r>
        <w:rPr>
          <w:rFonts w:ascii="宋体" w:hAnsi="宋体" w:hint="eastAsia"/>
          <w:kern w:val="0"/>
          <w:lang w:val="zh-CN"/>
        </w:rPr>
        <w:t>202</w:t>
      </w:r>
      <w:r>
        <w:rPr>
          <w:rFonts w:ascii="宋体" w:hAnsi="宋体"/>
          <w:kern w:val="0"/>
          <w:lang w:val="zh-CN"/>
        </w:rPr>
        <w:t>6</w:t>
      </w:r>
      <w:r>
        <w:rPr>
          <w:rFonts w:ascii="宋体" w:hAnsi="宋体" w:hint="eastAsia"/>
          <w:kern w:val="0"/>
          <w:lang w:val="zh-CN"/>
        </w:rPr>
        <w:t>年1月</w:t>
      </w:r>
      <w:r w:rsidR="0090020D">
        <w:rPr>
          <w:rFonts w:ascii="宋体" w:hAnsi="宋体" w:hint="eastAsia"/>
          <w:kern w:val="0"/>
          <w:lang w:val="zh-CN"/>
        </w:rPr>
        <w:t>，中国核学会</w:t>
      </w:r>
      <w:r>
        <w:rPr>
          <w:rFonts w:ascii="宋体" w:hAnsi="宋体" w:hint="eastAsia"/>
          <w:kern w:val="0"/>
          <w:lang w:val="zh-CN"/>
        </w:rPr>
        <w:t>印发《</w:t>
      </w:r>
      <w:r w:rsidRPr="00175B8B">
        <w:rPr>
          <w:rFonts w:ascii="宋体" w:hAnsi="宋体" w:hint="eastAsia"/>
          <w:kern w:val="0"/>
          <w:lang w:val="zh-CN"/>
        </w:rPr>
        <w:t>关于下达2026年度第一批中国核学会团体标准立项计划的通知</w:t>
      </w:r>
      <w:bookmarkStart w:id="1" w:name="OLE_LINK1"/>
      <w:bookmarkStart w:id="2" w:name="OLE_LINK2"/>
      <w:r>
        <w:rPr>
          <w:rFonts w:ascii="宋体" w:hAnsi="宋体" w:hint="eastAsia"/>
          <w:kern w:val="0"/>
          <w:lang w:val="zh-CN"/>
        </w:rPr>
        <w:t>》</w:t>
      </w:r>
      <w:bookmarkEnd w:id="1"/>
      <w:bookmarkEnd w:id="2"/>
      <w:r>
        <w:rPr>
          <w:rFonts w:ascii="宋体" w:hAnsi="宋体" w:hint="eastAsia"/>
          <w:kern w:val="0"/>
          <w:lang w:val="zh-CN"/>
        </w:rPr>
        <w:t>，正式下达本标准制定计划</w:t>
      </w:r>
      <w:r w:rsidR="0090020D">
        <w:rPr>
          <w:rFonts w:ascii="宋体" w:hAnsi="宋体" w:hint="eastAsia"/>
          <w:kern w:val="0"/>
          <w:lang w:val="zh-CN"/>
        </w:rPr>
        <w:t>。</w:t>
      </w:r>
      <w:r>
        <w:rPr>
          <w:rFonts w:ascii="宋体" w:hAnsi="宋体" w:hint="eastAsia"/>
          <w:kern w:val="0"/>
          <w:lang w:val="zh-CN"/>
        </w:rPr>
        <w:t>计划名称为《</w:t>
      </w:r>
      <w:r w:rsidRPr="00175B8B">
        <w:rPr>
          <w:rFonts w:ascii="宋体" w:hAnsi="宋体" w:hint="eastAsia"/>
          <w:kern w:val="0"/>
          <w:lang w:val="zh-CN"/>
        </w:rPr>
        <w:t>铀裂变瞬发中子测井规范</w:t>
      </w:r>
      <w:r>
        <w:rPr>
          <w:rFonts w:ascii="宋体" w:hAnsi="宋体" w:hint="eastAsia"/>
          <w:kern w:val="0"/>
          <w:lang w:val="zh-CN"/>
        </w:rPr>
        <w:t>》，计划号为HTB</w:t>
      </w:r>
      <w:r>
        <w:rPr>
          <w:rFonts w:ascii="宋体" w:hAnsi="宋体"/>
          <w:kern w:val="0"/>
          <w:lang w:val="zh-CN"/>
        </w:rPr>
        <w:t>2026004</w:t>
      </w:r>
      <w:r>
        <w:rPr>
          <w:rFonts w:ascii="宋体" w:hAnsi="宋体" w:hint="eastAsia"/>
          <w:kern w:val="0"/>
          <w:lang w:val="zh-CN"/>
        </w:rPr>
        <w:t>，周期1年，牵头单位为</w:t>
      </w:r>
      <w:r>
        <w:rPr>
          <w:rFonts w:hint="eastAsia"/>
        </w:rPr>
        <w:t>核工业航测遥感中心。</w:t>
      </w:r>
    </w:p>
    <w:p w14:paraId="22C7B63B" w14:textId="77777777" w:rsidR="00136F89" w:rsidRDefault="0090020D">
      <w:pPr>
        <w:pStyle w:val="af6"/>
        <w:numPr>
          <w:ilvl w:val="0"/>
          <w:numId w:val="2"/>
        </w:numPr>
        <w:spacing w:before="240" w:after="240" w:line="360" w:lineRule="auto"/>
        <w:ind w:firstLineChars="0"/>
        <w:rPr>
          <w:rFonts w:eastAsia="黑体"/>
          <w:sz w:val="28"/>
          <w:szCs w:val="28"/>
        </w:rPr>
      </w:pPr>
      <w:r>
        <w:rPr>
          <w:rFonts w:ascii="黑体" w:eastAsia="黑体" w:hAnsi="黑体" w:hint="eastAsia"/>
          <w:kern w:val="0"/>
        </w:rPr>
        <w:t>起草</w:t>
      </w:r>
      <w:r>
        <w:rPr>
          <w:rFonts w:ascii="黑体" w:eastAsia="黑体" w:hAnsi="黑体"/>
          <w:kern w:val="0"/>
        </w:rPr>
        <w:t>单位情况</w:t>
      </w:r>
    </w:p>
    <w:p w14:paraId="62A6C5E8" w14:textId="7B235B1F" w:rsidR="00136F89" w:rsidRDefault="0090020D">
      <w:pPr>
        <w:spacing w:line="360" w:lineRule="auto"/>
        <w:ind w:firstLineChars="200" w:firstLine="480"/>
      </w:pPr>
      <w:r>
        <w:rPr>
          <w:rFonts w:hint="eastAsia"/>
        </w:rPr>
        <w:t>本规范起草单位有：核工业航测遥感中心</w:t>
      </w:r>
      <w:r w:rsidR="00C22449">
        <w:rPr>
          <w:rFonts w:hint="eastAsia"/>
        </w:rPr>
        <w:t>、</w:t>
      </w:r>
      <w:r>
        <w:rPr>
          <w:rFonts w:hint="eastAsia"/>
        </w:rPr>
        <w:t>东华理工大学</w:t>
      </w:r>
      <w:r w:rsidR="00C22449">
        <w:rPr>
          <w:rFonts w:hint="eastAsia"/>
        </w:rPr>
        <w:t>、</w:t>
      </w:r>
      <w:r>
        <w:rPr>
          <w:rFonts w:hint="eastAsia"/>
        </w:rPr>
        <w:t>核工业北京地质研究院</w:t>
      </w:r>
      <w:r w:rsidR="00C22449">
        <w:rPr>
          <w:rFonts w:hint="eastAsia"/>
        </w:rPr>
        <w:t>、</w:t>
      </w:r>
      <w:r>
        <w:rPr>
          <w:rFonts w:hint="eastAsia"/>
        </w:rPr>
        <w:t>国防科技工业</w:t>
      </w:r>
      <w:r>
        <w:rPr>
          <w:rFonts w:hint="eastAsia"/>
        </w:rPr>
        <w:t>1313</w:t>
      </w:r>
      <w:r>
        <w:rPr>
          <w:rFonts w:hint="eastAsia"/>
        </w:rPr>
        <w:t>区域计量站</w:t>
      </w:r>
      <w:r w:rsidR="00C22449">
        <w:rPr>
          <w:rFonts w:hint="eastAsia"/>
        </w:rPr>
        <w:t>、</w:t>
      </w:r>
      <w:r>
        <w:rPr>
          <w:rFonts w:hint="eastAsia"/>
        </w:rPr>
        <w:t>河北航遥科技有限公司。</w:t>
      </w:r>
    </w:p>
    <w:p w14:paraId="33033245" w14:textId="77777777" w:rsidR="00136F89" w:rsidRDefault="0090020D">
      <w:pPr>
        <w:pStyle w:val="af6"/>
        <w:numPr>
          <w:ilvl w:val="0"/>
          <w:numId w:val="2"/>
        </w:numPr>
        <w:spacing w:before="240" w:after="240" w:line="360" w:lineRule="auto"/>
        <w:ind w:firstLineChars="0"/>
        <w:rPr>
          <w:rFonts w:ascii="黑体" w:eastAsia="黑体" w:hAnsi="黑体"/>
          <w:kern w:val="0"/>
        </w:rPr>
      </w:pPr>
      <w:r>
        <w:rPr>
          <w:rFonts w:ascii="黑体" w:eastAsia="黑体" w:hAnsi="黑体" w:hint="eastAsia"/>
          <w:kern w:val="0"/>
        </w:rPr>
        <w:t>起草工作组组成及任务分工</w:t>
      </w:r>
    </w:p>
    <w:p w14:paraId="1CAC4481" w14:textId="77777777" w:rsidR="00136F89" w:rsidRDefault="0090020D">
      <w:pPr>
        <w:spacing w:line="360" w:lineRule="auto"/>
        <w:ind w:firstLineChars="200" w:firstLine="480"/>
      </w:pPr>
      <w:r>
        <w:rPr>
          <w:rFonts w:hint="eastAsia"/>
        </w:rPr>
        <w:t>本规范主要起草人有：管少斌、汤彬、唐晓川、张积运、高国林、张雄杰、沈长枫、张丽娇。</w:t>
      </w:r>
    </w:p>
    <w:p w14:paraId="17CCCEA0" w14:textId="77777777" w:rsidR="00136F89" w:rsidRDefault="0090020D">
      <w:pPr>
        <w:spacing w:line="360" w:lineRule="auto"/>
        <w:ind w:firstLineChars="200" w:firstLine="480"/>
      </w:pPr>
      <w:r>
        <w:rPr>
          <w:rFonts w:hint="eastAsia"/>
        </w:rPr>
        <w:t>其中管少斌及汤彬负责对规范的整技术体路线、框架结构进行指导与审定；唐晓川、张积运、高国林及张雄杰负责对技术内容进行编制及审核等工作；沈长枫及张丽娇负责开展规范的相关技术指标验证测试及数据处理与分析等工作。</w:t>
      </w:r>
    </w:p>
    <w:p w14:paraId="271F87B9" w14:textId="77777777" w:rsidR="00136F89" w:rsidRDefault="0090020D">
      <w:pPr>
        <w:pStyle w:val="af6"/>
        <w:numPr>
          <w:ilvl w:val="0"/>
          <w:numId w:val="2"/>
        </w:numPr>
        <w:spacing w:before="240" w:after="240" w:line="360" w:lineRule="auto"/>
        <w:ind w:firstLineChars="0"/>
        <w:rPr>
          <w:rFonts w:eastAsia="黑体"/>
          <w:sz w:val="28"/>
          <w:szCs w:val="28"/>
        </w:rPr>
      </w:pPr>
      <w:r>
        <w:rPr>
          <w:rFonts w:ascii="黑体" w:eastAsia="黑体" w:hAnsi="黑体" w:hint="eastAsia"/>
          <w:kern w:val="0"/>
        </w:rPr>
        <w:t>主要</w:t>
      </w:r>
      <w:r>
        <w:rPr>
          <w:rFonts w:ascii="黑体" w:eastAsia="黑体" w:hAnsi="黑体"/>
          <w:kern w:val="0"/>
        </w:rPr>
        <w:t>工作过程</w:t>
      </w:r>
    </w:p>
    <w:p w14:paraId="7FA69580" w14:textId="77777777" w:rsidR="00136F89" w:rsidRDefault="0090020D">
      <w:pPr>
        <w:pStyle w:val="CM49"/>
        <w:spacing w:after="0" w:line="360" w:lineRule="auto"/>
        <w:ind w:firstLineChars="200" w:firstLine="480"/>
        <w:jc w:val="both"/>
      </w:pPr>
      <w:r>
        <w:rPr>
          <w:rFonts w:hint="eastAsia"/>
        </w:rPr>
        <w:t>本标准的起草过程主要分为前期准备、征求意见稿编制、送审稿编制、报批稿编制阶段。目前工作组已完成前期准备，并形成了征求意见稿。</w:t>
      </w:r>
    </w:p>
    <w:p w14:paraId="34C252C6" w14:textId="77777777" w:rsidR="00136F89" w:rsidRDefault="0090020D">
      <w:pPr>
        <w:spacing w:before="240" w:line="360" w:lineRule="auto"/>
        <w:rPr>
          <w:rFonts w:ascii="黑体" w:eastAsia="黑体" w:hAnsi="黑体"/>
          <w:kern w:val="0"/>
        </w:rPr>
      </w:pPr>
      <w:r>
        <w:rPr>
          <w:rFonts w:ascii="黑体" w:eastAsia="黑体" w:hAnsi="黑体" w:hint="eastAsia"/>
          <w:kern w:val="0"/>
        </w:rPr>
        <w:t>4.1 前期准备（2025年1月-2025年12月）</w:t>
      </w:r>
    </w:p>
    <w:p w14:paraId="1DEE58C3" w14:textId="77777777" w:rsidR="00136F89" w:rsidRDefault="0090020D">
      <w:pPr>
        <w:spacing w:line="360" w:lineRule="auto"/>
        <w:ind w:firstLineChars="200" w:firstLine="480"/>
        <w:rPr>
          <w:rFonts w:ascii="Times New Roman" w:hAnsi="Times New Roman" w:cs="Times New Roman"/>
          <w:kern w:val="0"/>
        </w:rPr>
      </w:pPr>
      <w:r>
        <w:rPr>
          <w:rFonts w:ascii="Times New Roman" w:hAnsi="Times New Roman" w:cs="Times New Roman"/>
          <w:kern w:val="0"/>
        </w:rPr>
        <w:t>我国于</w:t>
      </w:r>
      <w:r>
        <w:rPr>
          <w:rFonts w:ascii="Times New Roman" w:hAnsi="Times New Roman" w:cs="Times New Roman"/>
          <w:kern w:val="0"/>
        </w:rPr>
        <w:t>2000</w:t>
      </w:r>
      <w:r>
        <w:rPr>
          <w:rFonts w:ascii="Times New Roman" w:hAnsi="Times New Roman" w:cs="Times New Roman"/>
          <w:kern w:val="0"/>
        </w:rPr>
        <w:t>年开始研建中子测井计量标准，</w:t>
      </w:r>
      <w:r>
        <w:rPr>
          <w:rFonts w:ascii="Times New Roman" w:hAnsi="Times New Roman" w:cs="Times New Roman"/>
          <w:kern w:val="0"/>
        </w:rPr>
        <w:t>2009</w:t>
      </w:r>
      <w:r>
        <w:rPr>
          <w:rFonts w:ascii="Times New Roman" w:hAnsi="Times New Roman" w:cs="Times New Roman"/>
          <w:kern w:val="0"/>
        </w:rPr>
        <w:t>年引进俄罗斯产</w:t>
      </w:r>
      <w:r>
        <w:rPr>
          <w:rFonts w:ascii="Times New Roman" w:hAnsi="Times New Roman" w:cs="Times New Roman"/>
          <w:kern w:val="0"/>
        </w:rPr>
        <w:t>АИНК-60</w:t>
      </w:r>
      <w:r>
        <w:rPr>
          <w:rFonts w:ascii="Times New Roman" w:hAnsi="Times New Roman" w:cs="Times New Roman"/>
          <w:kern w:val="0"/>
        </w:rPr>
        <w:t>型脉冲中子测井仪，开展校准技术与解释方法研究，并制定了《裂变中子测井仪检定规程》（</w:t>
      </w:r>
      <w:r>
        <w:rPr>
          <w:rFonts w:ascii="Times New Roman" w:hAnsi="Times New Roman" w:cs="Times New Roman"/>
          <w:kern w:val="0"/>
        </w:rPr>
        <w:t>JJG</w:t>
      </w:r>
      <w:r>
        <w:rPr>
          <w:rFonts w:ascii="Times New Roman" w:hAnsi="Times New Roman" w:cs="Times New Roman"/>
          <w:kern w:val="0"/>
        </w:rPr>
        <w:t>（军工）</w:t>
      </w:r>
      <w:r>
        <w:rPr>
          <w:rFonts w:ascii="Times New Roman" w:hAnsi="Times New Roman" w:cs="Times New Roman"/>
          <w:kern w:val="0"/>
        </w:rPr>
        <w:t>151—2017</w:t>
      </w:r>
      <w:r>
        <w:rPr>
          <w:rFonts w:ascii="Times New Roman" w:hAnsi="Times New Roman" w:cs="Times New Roman"/>
          <w:kern w:val="0"/>
        </w:rPr>
        <w:t>）。</w:t>
      </w:r>
      <w:r>
        <w:rPr>
          <w:rFonts w:ascii="Times New Roman" w:hAnsi="Times New Roman" w:cs="Times New Roman"/>
          <w:kern w:val="0"/>
        </w:rPr>
        <w:t>2011</w:t>
      </w:r>
      <w:r>
        <w:rPr>
          <w:rFonts w:ascii="Times New Roman" w:hAnsi="Times New Roman" w:cs="Times New Roman"/>
          <w:kern w:val="0"/>
        </w:rPr>
        <w:t>年至</w:t>
      </w:r>
      <w:r>
        <w:rPr>
          <w:rFonts w:ascii="Times New Roman" w:hAnsi="Times New Roman" w:cs="Times New Roman"/>
          <w:kern w:val="0"/>
        </w:rPr>
        <w:t>2016</w:t>
      </w:r>
      <w:r>
        <w:rPr>
          <w:rFonts w:ascii="Times New Roman" w:hAnsi="Times New Roman" w:cs="Times New Roman"/>
          <w:kern w:val="0"/>
        </w:rPr>
        <w:t>年，在核工业地质局的</w:t>
      </w:r>
      <w:r>
        <w:rPr>
          <w:rFonts w:ascii="Times New Roman" w:hAnsi="Times New Roman" w:cs="Times New Roman"/>
          <w:kern w:val="0"/>
        </w:rPr>
        <w:lastRenderedPageBreak/>
        <w:t>支持下，使用</w:t>
      </w:r>
      <w:r>
        <w:rPr>
          <w:rFonts w:ascii="Times New Roman" w:hAnsi="Times New Roman" w:cs="Times New Roman"/>
          <w:kern w:val="0"/>
        </w:rPr>
        <w:t>АИНК-60</w:t>
      </w:r>
      <w:r>
        <w:rPr>
          <w:rFonts w:ascii="Times New Roman" w:hAnsi="Times New Roman" w:cs="Times New Roman"/>
          <w:kern w:val="0"/>
        </w:rPr>
        <w:t>型脉冲中子测井仪在新疆、内蒙等地开展了应用技术研究工作。</w:t>
      </w:r>
      <w:r>
        <w:rPr>
          <w:rFonts w:ascii="Times New Roman" w:hAnsi="Times New Roman" w:cs="Times New Roman"/>
          <w:kern w:val="0"/>
        </w:rPr>
        <w:t>2010</w:t>
      </w:r>
      <w:r>
        <w:rPr>
          <w:rFonts w:ascii="Times New Roman" w:hAnsi="Times New Roman" w:cs="Times New Roman"/>
          <w:kern w:val="0"/>
        </w:rPr>
        <w:t>年，东华理工大学汤彬团队着手开展了铀矿脉冲中子测井系统的研发工作，形成了铀矿脉冲中子测井仪样机，并取得了一系列发明专利和软件著作权。</w:t>
      </w:r>
      <w:r>
        <w:rPr>
          <w:rFonts w:ascii="Times New Roman" w:hAnsi="Times New Roman" w:cs="Times New Roman"/>
          <w:kern w:val="0"/>
        </w:rPr>
        <w:t>2020</w:t>
      </w:r>
      <w:r>
        <w:rPr>
          <w:rFonts w:ascii="Times New Roman" w:hAnsi="Times New Roman" w:cs="Times New Roman"/>
          <w:kern w:val="0"/>
        </w:rPr>
        <w:t>年，核工业航测遥感中心提出了铀裂变瞬发中子</w:t>
      </w:r>
      <w:r>
        <w:rPr>
          <w:rFonts w:ascii="Times New Roman" w:hAnsi="Times New Roman" w:cs="Times New Roman"/>
          <w:kern w:val="0"/>
        </w:rPr>
        <w:t>-</w:t>
      </w:r>
      <w:r>
        <w:rPr>
          <w:rFonts w:ascii="Times New Roman" w:hAnsi="Times New Roman" w:cs="Times New Roman"/>
          <w:kern w:val="0"/>
        </w:rPr>
        <w:t>伽马融合测井技术，通过国防科工局核能开发科研《铀裂变瞬发</w:t>
      </w:r>
      <w:r>
        <w:rPr>
          <w:rFonts w:ascii="Times New Roman" w:hAnsi="Times New Roman" w:cs="Times New Roman"/>
          <w:kern w:val="0"/>
        </w:rPr>
        <w:t>n-γ</w:t>
      </w:r>
      <w:r>
        <w:rPr>
          <w:rFonts w:ascii="Times New Roman" w:hAnsi="Times New Roman" w:cs="Times New Roman"/>
          <w:kern w:val="0"/>
        </w:rPr>
        <w:t>融合测井及航空监测关键技术研究》项目（立项批复编号：科工二司〔</w:t>
      </w:r>
      <w:r>
        <w:rPr>
          <w:rFonts w:ascii="Times New Roman" w:hAnsi="Times New Roman" w:cs="Times New Roman"/>
          <w:kern w:val="0"/>
        </w:rPr>
        <w:t>2020</w:t>
      </w:r>
      <w:r>
        <w:rPr>
          <w:rFonts w:ascii="Times New Roman" w:hAnsi="Times New Roman" w:cs="Times New Roman"/>
          <w:kern w:val="0"/>
        </w:rPr>
        <w:t>〕</w:t>
      </w:r>
      <w:r>
        <w:rPr>
          <w:rFonts w:ascii="Times New Roman" w:hAnsi="Times New Roman" w:cs="Times New Roman"/>
          <w:kern w:val="0"/>
        </w:rPr>
        <w:t>1192</w:t>
      </w:r>
      <w:r>
        <w:rPr>
          <w:rFonts w:ascii="Times New Roman" w:hAnsi="Times New Roman" w:cs="Times New Roman"/>
          <w:kern w:val="0"/>
        </w:rPr>
        <w:t>号），联合东华理工大学，通过国产</w:t>
      </w:r>
      <w:r>
        <w:rPr>
          <w:rFonts w:ascii="Times New Roman" w:hAnsi="Times New Roman" w:cs="Times New Roman"/>
          <w:kern w:val="0"/>
        </w:rPr>
        <w:t>n-γ</w:t>
      </w:r>
      <w:r>
        <w:rPr>
          <w:rFonts w:ascii="Times New Roman" w:hAnsi="Times New Roman" w:cs="Times New Roman"/>
          <w:kern w:val="0"/>
        </w:rPr>
        <w:t>融合测井仪研制、测井参数模型研制、测井影响因素研究、野外应用试验等工作，攻克了</w:t>
      </w:r>
      <w:r>
        <w:rPr>
          <w:rFonts w:ascii="Times New Roman" w:hAnsi="Times New Roman" w:cs="Times New Roman"/>
          <w:kern w:val="0"/>
        </w:rPr>
        <w:t>n-γ</w:t>
      </w:r>
      <w:r>
        <w:rPr>
          <w:rFonts w:ascii="Times New Roman" w:hAnsi="Times New Roman" w:cs="Times New Roman"/>
          <w:kern w:val="0"/>
        </w:rPr>
        <w:t>融合测井技术方法、测井参数模型设计、测井影响因素修正等多项关键技术，于</w:t>
      </w:r>
      <w:r>
        <w:rPr>
          <w:rFonts w:ascii="Times New Roman" w:hAnsi="Times New Roman" w:cs="Times New Roman"/>
          <w:kern w:val="0"/>
        </w:rPr>
        <w:t>2024</w:t>
      </w:r>
      <w:r>
        <w:rPr>
          <w:rFonts w:ascii="Times New Roman" w:hAnsi="Times New Roman" w:cs="Times New Roman"/>
          <w:kern w:val="0"/>
        </w:rPr>
        <w:t>年成功研制出了</w:t>
      </w:r>
      <w:r>
        <w:rPr>
          <w:rFonts w:ascii="Times New Roman" w:hAnsi="Times New Roman" w:cs="Times New Roman"/>
          <w:kern w:val="0"/>
        </w:rPr>
        <w:t>UNL4</w:t>
      </w:r>
      <w:r>
        <w:rPr>
          <w:rFonts w:ascii="Times New Roman" w:hAnsi="Times New Roman" w:cs="Times New Roman"/>
          <w:kern w:val="0"/>
        </w:rPr>
        <w:t>型</w:t>
      </w:r>
      <w:r>
        <w:rPr>
          <w:rFonts w:ascii="Times New Roman" w:hAnsi="Times New Roman" w:cs="Times New Roman"/>
          <w:kern w:val="0"/>
        </w:rPr>
        <w:t>n-γ</w:t>
      </w:r>
      <w:r>
        <w:rPr>
          <w:rFonts w:ascii="Times New Roman" w:hAnsi="Times New Roman" w:cs="Times New Roman"/>
          <w:kern w:val="0"/>
        </w:rPr>
        <w:t>融合测井仪；通过在内蒙古哈拉图、那仁，甘肃新庄、镇原等地的试验验证，实现了中子测井直接铀含量探测限</w:t>
      </w:r>
      <w:r>
        <w:rPr>
          <w:rFonts w:ascii="Times New Roman" w:hAnsi="Times New Roman" w:cs="Times New Roman"/>
          <w:kern w:val="0"/>
        </w:rPr>
        <w:t>45×10</w:t>
      </w:r>
      <w:r>
        <w:rPr>
          <w:rFonts w:ascii="Times New Roman" w:hAnsi="Times New Roman" w:cs="Times New Roman"/>
          <w:kern w:val="0"/>
          <w:vertAlign w:val="superscript"/>
        </w:rPr>
        <w:t>-6</w:t>
      </w:r>
      <w:r>
        <w:rPr>
          <w:rFonts w:ascii="Times New Roman" w:hAnsi="Times New Roman" w:cs="Times New Roman"/>
          <w:kern w:val="0"/>
        </w:rPr>
        <w:t>，与铀矿勘查岩心取样分析结果的相对偏差在</w:t>
      </w:r>
      <w:r>
        <w:rPr>
          <w:rFonts w:ascii="Times New Roman" w:hAnsi="Times New Roman" w:cs="Times New Roman"/>
          <w:kern w:val="0"/>
        </w:rPr>
        <w:t>15%</w:t>
      </w:r>
      <w:r>
        <w:rPr>
          <w:rFonts w:ascii="Times New Roman" w:hAnsi="Times New Roman" w:cs="Times New Roman"/>
          <w:kern w:val="0"/>
        </w:rPr>
        <w:t>以内的应用效果；达到了定量分辨目的层中的铀、镭元素含量，追踪铀矿找矿线索的目的。</w:t>
      </w:r>
    </w:p>
    <w:p w14:paraId="5BCFFAB8" w14:textId="77777777" w:rsidR="00136F89" w:rsidRDefault="0090020D">
      <w:pPr>
        <w:spacing w:line="360" w:lineRule="auto"/>
        <w:ind w:firstLineChars="200" w:firstLine="480"/>
        <w:rPr>
          <w:rFonts w:ascii="Times New Roman" w:hAnsi="Times New Roman" w:cs="Times New Roman"/>
          <w:kern w:val="0"/>
        </w:rPr>
      </w:pPr>
      <w:r>
        <w:rPr>
          <w:rFonts w:ascii="Times New Roman" w:hAnsi="Times New Roman" w:cs="Times New Roman"/>
          <w:kern w:val="0"/>
        </w:rPr>
        <w:t>2025</w:t>
      </w:r>
      <w:r>
        <w:rPr>
          <w:rFonts w:ascii="Times New Roman" w:hAnsi="Times New Roman" w:cs="Times New Roman"/>
          <w:kern w:val="0"/>
        </w:rPr>
        <w:t>年</w:t>
      </w:r>
      <w:r>
        <w:rPr>
          <w:rFonts w:ascii="Times New Roman" w:hAnsi="Times New Roman" w:cs="Times New Roman" w:hint="eastAsia"/>
          <w:kern w:val="0"/>
        </w:rPr>
        <w:t>1</w:t>
      </w:r>
      <w:r>
        <w:rPr>
          <w:rFonts w:ascii="Times New Roman" w:hAnsi="Times New Roman" w:cs="Times New Roman" w:hint="eastAsia"/>
          <w:kern w:val="0"/>
        </w:rPr>
        <w:t>月</w:t>
      </w:r>
      <w:r>
        <w:rPr>
          <w:rFonts w:ascii="Times New Roman" w:hAnsi="Times New Roman" w:cs="Times New Roman"/>
          <w:kern w:val="0"/>
        </w:rPr>
        <w:t>，</w:t>
      </w:r>
      <w:r>
        <w:rPr>
          <w:rFonts w:ascii="Times New Roman" w:hAnsi="Times New Roman" w:cs="Times New Roman" w:hint="eastAsia"/>
          <w:kern w:val="0"/>
        </w:rPr>
        <w:t>核工业航测遥感中心组织东华理工大学、核工业北京地质研究院等单位成立了本标准的起草工作组，分解了需要开展的指标测试任务、明确了规范编制进度。</w:t>
      </w:r>
      <w:r>
        <w:rPr>
          <w:rFonts w:ascii="Times New Roman" w:hAnsi="Times New Roman" w:cs="Times New Roman"/>
          <w:kern w:val="0"/>
        </w:rPr>
        <w:t>通过</w:t>
      </w:r>
      <w:r>
        <w:rPr>
          <w:rFonts w:ascii="Times New Roman" w:hAnsi="Times New Roman" w:cs="Times New Roman" w:hint="eastAsia"/>
          <w:kern w:val="0"/>
        </w:rPr>
        <w:t>收集项目组前期工作的相关数据资料，结合在</w:t>
      </w:r>
      <w:r>
        <w:rPr>
          <w:rFonts w:ascii="Times New Roman" w:hAnsi="Times New Roman" w:cs="Times New Roman"/>
          <w:kern w:val="0"/>
        </w:rPr>
        <w:t>甘肃新庄、镇原，青海格尔木、茫崖等地的中子测井示范</w:t>
      </w:r>
      <w:r>
        <w:rPr>
          <w:rFonts w:ascii="Times New Roman" w:hAnsi="Times New Roman" w:cs="Times New Roman" w:hint="eastAsia"/>
          <w:kern w:val="0"/>
        </w:rPr>
        <w:t>应用</w:t>
      </w:r>
      <w:r>
        <w:rPr>
          <w:rFonts w:ascii="Times New Roman" w:hAnsi="Times New Roman" w:cs="Times New Roman"/>
          <w:kern w:val="0"/>
        </w:rPr>
        <w:t>，验证了铀矿勘查中子测井技术，为中子测井技术的工程化应用奠定了技术基础。</w:t>
      </w:r>
    </w:p>
    <w:p w14:paraId="54D2426E" w14:textId="77777777" w:rsidR="00136F89" w:rsidRDefault="0090020D">
      <w:pPr>
        <w:spacing w:line="360" w:lineRule="auto"/>
        <w:ind w:firstLineChars="200" w:firstLine="480"/>
        <w:rPr>
          <w:rFonts w:ascii="Times New Roman" w:hAnsi="Times New Roman" w:cs="Times New Roman"/>
          <w:kern w:val="0"/>
        </w:rPr>
      </w:pPr>
      <w:r>
        <w:rPr>
          <w:rFonts w:ascii="Times New Roman" w:hAnsi="Times New Roman" w:cs="Times New Roman"/>
          <w:kern w:val="0"/>
        </w:rPr>
        <w:t>工作组根据二十多年的中子测井工作成果和技术积累，着重系统总结归纳中子测井技术方法，在此基础上编制了《铀裂变瞬发中子测井规范（工作组讨论稿）》。</w:t>
      </w:r>
    </w:p>
    <w:p w14:paraId="214B4AC8" w14:textId="77777777" w:rsidR="00136F89" w:rsidRPr="00DD476C" w:rsidRDefault="0090020D">
      <w:pPr>
        <w:spacing w:line="360" w:lineRule="auto"/>
        <w:ind w:firstLineChars="200" w:firstLine="480"/>
        <w:rPr>
          <w:rFonts w:ascii="Times New Roman" w:hAnsi="Times New Roman" w:cs="Times New Roman"/>
        </w:rPr>
      </w:pPr>
      <w:r w:rsidRPr="00DD476C">
        <w:rPr>
          <w:rFonts w:ascii="Times New Roman" w:hAnsi="Times New Roman" w:cs="Times New Roman"/>
        </w:rPr>
        <w:t>2025</w:t>
      </w:r>
      <w:r w:rsidRPr="00DD476C">
        <w:rPr>
          <w:rFonts w:ascii="Times New Roman" w:hAnsi="Times New Roman" w:cs="Times New Roman"/>
        </w:rPr>
        <w:t>年</w:t>
      </w:r>
      <w:r w:rsidRPr="00DD476C">
        <w:rPr>
          <w:rFonts w:ascii="Times New Roman" w:hAnsi="Times New Roman" w:cs="Times New Roman"/>
        </w:rPr>
        <w:t>12</w:t>
      </w:r>
      <w:r w:rsidRPr="00DD476C">
        <w:rPr>
          <w:rFonts w:ascii="Times New Roman" w:hAnsi="Times New Roman" w:cs="Times New Roman"/>
        </w:rPr>
        <w:t>月</w:t>
      </w:r>
      <w:r w:rsidRPr="00DD476C">
        <w:rPr>
          <w:rFonts w:ascii="Times New Roman" w:hAnsi="Times New Roman" w:cs="Times New Roman"/>
        </w:rPr>
        <w:t>26</w:t>
      </w:r>
      <w:r w:rsidRPr="00DD476C">
        <w:rPr>
          <w:rFonts w:ascii="Times New Roman" w:hAnsi="Times New Roman" w:cs="Times New Roman"/>
        </w:rPr>
        <w:t>日，中国核学会组织召开了团体标准立项把关会，会议通过本规范的立项建议。</w:t>
      </w:r>
    </w:p>
    <w:p w14:paraId="6080A5CF" w14:textId="77777777" w:rsidR="00136F89" w:rsidRDefault="0090020D">
      <w:pPr>
        <w:spacing w:before="240" w:line="360" w:lineRule="auto"/>
        <w:rPr>
          <w:rFonts w:ascii="黑体" w:eastAsia="黑体" w:hAnsi="黑体"/>
          <w:kern w:val="0"/>
        </w:rPr>
      </w:pPr>
      <w:r>
        <w:rPr>
          <w:rFonts w:ascii="黑体" w:eastAsia="黑体" w:hAnsi="黑体" w:hint="eastAsia"/>
          <w:kern w:val="0"/>
        </w:rPr>
        <w:t>4.2 征求意见稿编制（2025年12月-2026年1月）</w:t>
      </w:r>
    </w:p>
    <w:p w14:paraId="4265D728" w14:textId="77777777" w:rsidR="00136F89" w:rsidRPr="00DD476C" w:rsidRDefault="0090020D">
      <w:pPr>
        <w:spacing w:line="360" w:lineRule="auto"/>
        <w:ind w:firstLineChars="200" w:firstLine="480"/>
        <w:rPr>
          <w:rFonts w:ascii="Times New Roman" w:hAnsi="Times New Roman" w:cs="Times New Roman"/>
        </w:rPr>
      </w:pPr>
      <w:r w:rsidRPr="00DD476C">
        <w:rPr>
          <w:rFonts w:ascii="Times New Roman" w:hAnsi="Times New Roman" w:cs="Times New Roman"/>
        </w:rPr>
        <w:t>2026</w:t>
      </w:r>
      <w:r w:rsidRPr="00DD476C">
        <w:rPr>
          <w:rFonts w:ascii="Times New Roman" w:hAnsi="Times New Roman" w:cs="Times New Roman"/>
        </w:rPr>
        <w:t>年</w:t>
      </w:r>
      <w:r w:rsidRPr="00DD476C">
        <w:rPr>
          <w:rFonts w:ascii="Times New Roman" w:hAnsi="Times New Roman" w:cs="Times New Roman"/>
        </w:rPr>
        <w:t>1</w:t>
      </w:r>
      <w:r w:rsidRPr="00DD476C">
        <w:rPr>
          <w:rFonts w:ascii="Times New Roman" w:hAnsi="Times New Roman" w:cs="Times New Roman"/>
        </w:rPr>
        <w:t>月</w:t>
      </w:r>
      <w:r w:rsidRPr="00DD476C">
        <w:rPr>
          <w:rFonts w:ascii="Times New Roman" w:hAnsi="Times New Roman" w:cs="Times New Roman"/>
        </w:rPr>
        <w:t>15</w:t>
      </w:r>
      <w:r w:rsidRPr="00DD476C">
        <w:rPr>
          <w:rFonts w:ascii="Times New Roman" w:hAnsi="Times New Roman" w:cs="Times New Roman"/>
        </w:rPr>
        <w:t>日，编制组根据立项建议和相关技术要求对</w:t>
      </w:r>
      <w:r w:rsidRPr="00DD476C">
        <w:rPr>
          <w:rFonts w:ascii="Times New Roman" w:hAnsi="Times New Roman" w:cs="Times New Roman"/>
        </w:rPr>
        <w:t>“</w:t>
      </w:r>
      <w:r w:rsidRPr="00DD476C">
        <w:rPr>
          <w:rFonts w:ascii="Times New Roman" w:hAnsi="Times New Roman" w:cs="Times New Roman"/>
        </w:rPr>
        <w:t>工作组讨论稿</w:t>
      </w:r>
      <w:r w:rsidRPr="00DD476C">
        <w:rPr>
          <w:rFonts w:ascii="Times New Roman" w:hAnsi="Times New Roman" w:cs="Times New Roman"/>
        </w:rPr>
        <w:t>”</w:t>
      </w:r>
      <w:r w:rsidRPr="00DD476C">
        <w:rPr>
          <w:rFonts w:ascii="Times New Roman" w:hAnsi="Times New Roman" w:cs="Times New Roman"/>
        </w:rPr>
        <w:t>进行了修改和完善，在此基础上形成了</w:t>
      </w:r>
      <w:r w:rsidRPr="00DD476C">
        <w:rPr>
          <w:rFonts w:ascii="Times New Roman" w:hAnsi="Times New Roman" w:cs="Times New Roman"/>
        </w:rPr>
        <w:t>“</w:t>
      </w:r>
      <w:r w:rsidRPr="00DD476C">
        <w:rPr>
          <w:rFonts w:ascii="Times New Roman" w:hAnsi="Times New Roman" w:cs="Times New Roman"/>
        </w:rPr>
        <w:t>征求意见稿</w:t>
      </w:r>
      <w:r w:rsidRPr="00DD476C">
        <w:rPr>
          <w:rFonts w:ascii="Times New Roman" w:hAnsi="Times New Roman" w:cs="Times New Roman"/>
        </w:rPr>
        <w:t>”</w:t>
      </w:r>
      <w:r w:rsidRPr="00DD476C">
        <w:rPr>
          <w:rFonts w:ascii="Times New Roman" w:hAnsi="Times New Roman" w:cs="Times New Roman"/>
        </w:rPr>
        <w:t>。于</w:t>
      </w:r>
      <w:r w:rsidRPr="00DD476C">
        <w:rPr>
          <w:rFonts w:ascii="Times New Roman" w:eastAsia="宋体" w:hAnsi="Times New Roman" w:cs="Times New Roman"/>
        </w:rPr>
        <w:t>2026</w:t>
      </w:r>
      <w:r w:rsidRPr="00DD476C">
        <w:rPr>
          <w:rFonts w:ascii="Times New Roman" w:hAnsi="Times New Roman" w:cs="Times New Roman"/>
        </w:rPr>
        <w:t>年</w:t>
      </w:r>
      <w:r w:rsidRPr="00DD476C">
        <w:rPr>
          <w:rFonts w:ascii="Times New Roman" w:hAnsi="Times New Roman" w:cs="Times New Roman"/>
        </w:rPr>
        <w:t>2</w:t>
      </w:r>
      <w:r w:rsidRPr="00DD476C">
        <w:rPr>
          <w:rFonts w:ascii="Times New Roman" w:hAnsi="Times New Roman" w:cs="Times New Roman"/>
        </w:rPr>
        <w:t>月</w:t>
      </w:r>
      <w:r w:rsidRPr="00DD476C">
        <w:rPr>
          <w:rFonts w:ascii="Times New Roman" w:hAnsi="Times New Roman" w:cs="Times New Roman"/>
        </w:rPr>
        <w:t>5</w:t>
      </w:r>
      <w:r w:rsidRPr="00DD476C">
        <w:rPr>
          <w:rFonts w:ascii="Times New Roman" w:hAnsi="Times New Roman" w:cs="Times New Roman"/>
        </w:rPr>
        <w:t>日将征求意见材料提交至核工业标准化研究所。</w:t>
      </w:r>
    </w:p>
    <w:p w14:paraId="57FBF504" w14:textId="77777777" w:rsidR="00136F89" w:rsidRDefault="0090020D">
      <w:pPr>
        <w:rPr>
          <w:rFonts w:ascii="黑体" w:eastAsia="黑体"/>
          <w:sz w:val="28"/>
          <w:szCs w:val="28"/>
        </w:rPr>
      </w:pPr>
      <w:r>
        <w:rPr>
          <w:rFonts w:ascii="黑体" w:eastAsia="黑体" w:hint="eastAsia"/>
          <w:sz w:val="28"/>
          <w:szCs w:val="28"/>
        </w:rPr>
        <w:br w:type="page"/>
      </w:r>
    </w:p>
    <w:p w14:paraId="77F39256" w14:textId="77777777" w:rsidR="00136F89" w:rsidRDefault="0090020D">
      <w:pPr>
        <w:numPr>
          <w:ilvl w:val="0"/>
          <w:numId w:val="1"/>
        </w:numPr>
        <w:spacing w:before="240" w:after="240" w:line="360" w:lineRule="auto"/>
        <w:rPr>
          <w:rFonts w:ascii="黑体" w:eastAsia="黑体"/>
          <w:sz w:val="28"/>
          <w:szCs w:val="28"/>
        </w:rPr>
      </w:pPr>
      <w:r>
        <w:rPr>
          <w:rFonts w:ascii="黑体" w:eastAsia="黑体" w:hint="eastAsia"/>
          <w:sz w:val="28"/>
          <w:szCs w:val="28"/>
        </w:rPr>
        <w:lastRenderedPageBreak/>
        <w:t>标准</w:t>
      </w:r>
      <w:r>
        <w:rPr>
          <w:rFonts w:ascii="黑体" w:eastAsia="黑体"/>
          <w:sz w:val="28"/>
          <w:szCs w:val="28"/>
        </w:rPr>
        <w:t>编制原则</w:t>
      </w:r>
      <w:r>
        <w:rPr>
          <w:rFonts w:ascii="黑体" w:eastAsia="黑体" w:hint="eastAsia"/>
          <w:sz w:val="28"/>
          <w:szCs w:val="28"/>
        </w:rPr>
        <w:t>和</w:t>
      </w:r>
      <w:r>
        <w:rPr>
          <w:rFonts w:ascii="黑体" w:eastAsia="黑体"/>
          <w:sz w:val="28"/>
          <w:szCs w:val="28"/>
        </w:rPr>
        <w:t>确定标准主要内容的依据</w:t>
      </w:r>
    </w:p>
    <w:p w14:paraId="5641DF0F" w14:textId="77777777" w:rsidR="00136F89" w:rsidRDefault="0090020D">
      <w:pPr>
        <w:pStyle w:val="af6"/>
        <w:numPr>
          <w:ilvl w:val="0"/>
          <w:numId w:val="3"/>
        </w:numPr>
        <w:spacing w:before="240" w:after="240" w:line="360" w:lineRule="auto"/>
        <w:ind w:firstLineChars="0"/>
        <w:rPr>
          <w:rFonts w:eastAsia="黑体"/>
          <w:sz w:val="28"/>
          <w:szCs w:val="28"/>
        </w:rPr>
      </w:pPr>
      <w:r>
        <w:rPr>
          <w:rFonts w:ascii="黑体" w:eastAsia="黑体" w:hAnsi="黑体" w:hint="eastAsia"/>
          <w:kern w:val="0"/>
        </w:rPr>
        <w:t>标准编制</w:t>
      </w:r>
      <w:r>
        <w:rPr>
          <w:rFonts w:ascii="黑体" w:eastAsia="黑体" w:hAnsi="黑体"/>
          <w:kern w:val="0"/>
        </w:rPr>
        <w:t>原则</w:t>
      </w:r>
    </w:p>
    <w:p w14:paraId="381718FE" w14:textId="77777777" w:rsidR="00136F89" w:rsidRDefault="0090020D">
      <w:pPr>
        <w:spacing w:line="360" w:lineRule="auto"/>
        <w:ind w:firstLineChars="200" w:firstLine="480"/>
      </w:pPr>
      <w:r>
        <w:rPr>
          <w:rFonts w:hint="eastAsia"/>
        </w:rPr>
        <w:t>标准的制定主要遵循合</w:t>
      </w:r>
      <w:proofErr w:type="gramStart"/>
      <w:r>
        <w:rPr>
          <w:rFonts w:hint="eastAsia"/>
        </w:rPr>
        <w:t>规</w:t>
      </w:r>
      <w:proofErr w:type="gramEnd"/>
      <w:r>
        <w:rPr>
          <w:rFonts w:hint="eastAsia"/>
        </w:rPr>
        <w:t>性、实用性、兼顾先进性、统一协调性、安全优先性等原则。</w:t>
      </w:r>
    </w:p>
    <w:p w14:paraId="69269A3E" w14:textId="77777777" w:rsidR="00136F89" w:rsidRDefault="0090020D">
      <w:pPr>
        <w:spacing w:before="240" w:line="360" w:lineRule="auto"/>
        <w:rPr>
          <w:rFonts w:ascii="黑体" w:eastAsia="黑体" w:hAnsi="黑体"/>
          <w:kern w:val="0"/>
        </w:rPr>
      </w:pPr>
      <w:r>
        <w:rPr>
          <w:rFonts w:ascii="黑体" w:eastAsia="黑体" w:hAnsi="黑体" w:hint="eastAsia"/>
          <w:kern w:val="0"/>
        </w:rPr>
        <w:t>1.1 合</w:t>
      </w:r>
      <w:proofErr w:type="gramStart"/>
      <w:r>
        <w:rPr>
          <w:rFonts w:ascii="黑体" w:eastAsia="黑体" w:hAnsi="黑体" w:hint="eastAsia"/>
          <w:kern w:val="0"/>
        </w:rPr>
        <w:t>规</w:t>
      </w:r>
      <w:proofErr w:type="gramEnd"/>
      <w:r>
        <w:rPr>
          <w:rFonts w:ascii="黑体" w:eastAsia="黑体" w:hAnsi="黑体" w:hint="eastAsia"/>
          <w:kern w:val="0"/>
        </w:rPr>
        <w:t>性</w:t>
      </w:r>
    </w:p>
    <w:p w14:paraId="08F831CA" w14:textId="77777777" w:rsidR="00136F89" w:rsidRDefault="0090020D">
      <w:pPr>
        <w:spacing w:line="360" w:lineRule="auto"/>
        <w:ind w:firstLineChars="200" w:firstLine="480"/>
      </w:pPr>
      <w:r>
        <w:rPr>
          <w:rFonts w:hint="eastAsia"/>
        </w:rPr>
        <w:t>严格依据国家现行法律、法规及相关标准开展规范制定工作，确保规范内容与《中华人民共</w:t>
      </w:r>
      <w:r w:rsidRPr="004A5B9E">
        <w:rPr>
          <w:rFonts w:ascii="Times New Roman" w:hAnsi="Times New Roman" w:cs="Times New Roman"/>
        </w:rPr>
        <w:t>和国放射性污染防治法》、《中华人民共和国职业病防治法》等法律要求一致，同时符合《标准化工作导则</w:t>
      </w:r>
      <w:r w:rsidRPr="004A5B9E">
        <w:rPr>
          <w:rFonts w:ascii="Times New Roman" w:hAnsi="Times New Roman" w:cs="Times New Roman"/>
        </w:rPr>
        <w:t xml:space="preserve"> </w:t>
      </w:r>
      <w:r w:rsidRPr="004A5B9E">
        <w:rPr>
          <w:rFonts w:ascii="Times New Roman" w:hAnsi="Times New Roman" w:cs="Times New Roman"/>
        </w:rPr>
        <w:t>第</w:t>
      </w:r>
      <w:r w:rsidRPr="004A5B9E">
        <w:rPr>
          <w:rFonts w:ascii="Times New Roman" w:hAnsi="Times New Roman" w:cs="Times New Roman"/>
        </w:rPr>
        <w:t>1</w:t>
      </w:r>
      <w:r w:rsidRPr="004A5B9E">
        <w:rPr>
          <w:rFonts w:ascii="Times New Roman" w:hAnsi="Times New Roman" w:cs="Times New Roman"/>
        </w:rPr>
        <w:t>部分：标准化文件的结构和起草规则》（</w:t>
      </w:r>
      <w:r w:rsidRPr="004A5B9E">
        <w:rPr>
          <w:rFonts w:ascii="Times New Roman" w:hAnsi="Times New Roman" w:cs="Times New Roman"/>
        </w:rPr>
        <w:t>GB/T 1.1—2020</w:t>
      </w:r>
      <w:r w:rsidRPr="004A5B9E">
        <w:rPr>
          <w:rFonts w:ascii="Times New Roman" w:hAnsi="Times New Roman" w:cs="Times New Roman"/>
        </w:rPr>
        <w:t>）、《电离辐射防护与辐射源安全基本标准》（</w:t>
      </w:r>
      <w:r w:rsidRPr="004A5B9E">
        <w:rPr>
          <w:rFonts w:ascii="Times New Roman" w:hAnsi="Times New Roman" w:cs="Times New Roman"/>
        </w:rPr>
        <w:t>GB 18871</w:t>
      </w:r>
      <w:r w:rsidRPr="004A5B9E">
        <w:rPr>
          <w:rFonts w:ascii="Times New Roman" w:hAnsi="Times New Roman" w:cs="Times New Roman"/>
        </w:rPr>
        <w:t>）、《裂变中子测井仪检定规程》（</w:t>
      </w:r>
      <w:r w:rsidRPr="004A5B9E">
        <w:rPr>
          <w:rFonts w:ascii="Times New Roman" w:hAnsi="Times New Roman" w:cs="Times New Roman"/>
        </w:rPr>
        <w:t>JJG</w:t>
      </w:r>
      <w:r w:rsidRPr="004A5B9E">
        <w:rPr>
          <w:rFonts w:ascii="Times New Roman" w:hAnsi="Times New Roman" w:cs="Times New Roman"/>
        </w:rPr>
        <w:t>（军工）</w:t>
      </w:r>
      <w:r w:rsidRPr="004A5B9E">
        <w:rPr>
          <w:rFonts w:ascii="Times New Roman" w:hAnsi="Times New Roman" w:cs="Times New Roman"/>
        </w:rPr>
        <w:t>151</w:t>
      </w:r>
      <w:r w:rsidRPr="004A5B9E">
        <w:rPr>
          <w:rFonts w:ascii="Times New Roman" w:hAnsi="Times New Roman" w:cs="Times New Roman"/>
        </w:rPr>
        <w:t>）等标准的技术框架与要求，保障规范的合法性、权威性与通用性，避免出现与现行制度冲突的内容。</w:t>
      </w:r>
    </w:p>
    <w:p w14:paraId="349AD020" w14:textId="77777777" w:rsidR="00136F89" w:rsidRDefault="0090020D">
      <w:pPr>
        <w:spacing w:before="240" w:line="360" w:lineRule="auto"/>
        <w:rPr>
          <w:rFonts w:ascii="黑体" w:eastAsia="黑体" w:hAnsi="黑体"/>
          <w:kern w:val="0"/>
        </w:rPr>
      </w:pPr>
      <w:r>
        <w:rPr>
          <w:rFonts w:ascii="黑体" w:eastAsia="黑体" w:hAnsi="黑体" w:hint="eastAsia"/>
          <w:kern w:val="0"/>
        </w:rPr>
        <w:t>1.2 实用性</w:t>
      </w:r>
    </w:p>
    <w:p w14:paraId="322F28E1" w14:textId="77777777" w:rsidR="00136F89" w:rsidRDefault="0090020D">
      <w:pPr>
        <w:spacing w:line="360" w:lineRule="auto"/>
        <w:ind w:firstLineChars="200" w:firstLine="480"/>
      </w:pPr>
      <w:r>
        <w:rPr>
          <w:rFonts w:hint="eastAsia"/>
        </w:rPr>
        <w:t>围绕我国铀矿勘查采冶的实际生产需求，解决铀</w:t>
      </w:r>
      <w:proofErr w:type="gramStart"/>
      <w:r>
        <w:rPr>
          <w:rFonts w:hint="eastAsia"/>
        </w:rPr>
        <w:t>镭平衡</w:t>
      </w:r>
      <w:proofErr w:type="gramEnd"/>
      <w:r>
        <w:rPr>
          <w:rFonts w:hint="eastAsia"/>
        </w:rPr>
        <w:t>破坏严重或变化大的铀矿床勘查、</w:t>
      </w:r>
      <w:proofErr w:type="gramStart"/>
      <w:r>
        <w:rPr>
          <w:rFonts w:hint="eastAsia"/>
        </w:rPr>
        <w:t>剩余铀量监测</w:t>
      </w:r>
      <w:proofErr w:type="gramEnd"/>
      <w:r>
        <w:rPr>
          <w:rFonts w:hint="eastAsia"/>
        </w:rPr>
        <w:t>等技术需求。内容充分结合我国中子测井技术从引进到国产化的实践成果，如内蒙古哈拉图、那仁，甘肃新庄、镇原，青海格尔木、茫崖等地的试验验证和示范项目数据等及应用经验，明确仪器操作、参数设定、数据处理解释、质量控制等关键环节的具体要求，确保规范可直接指导野外作业与室内分析，具备可操作性。</w:t>
      </w:r>
    </w:p>
    <w:p w14:paraId="563FFDA1" w14:textId="77777777" w:rsidR="00136F89" w:rsidRDefault="0090020D">
      <w:pPr>
        <w:spacing w:before="240" w:line="360" w:lineRule="auto"/>
        <w:rPr>
          <w:rFonts w:ascii="黑体" w:eastAsia="黑体" w:hAnsi="黑体"/>
          <w:kern w:val="0"/>
        </w:rPr>
      </w:pPr>
      <w:r>
        <w:rPr>
          <w:rFonts w:ascii="黑体" w:eastAsia="黑体" w:hAnsi="黑体" w:hint="eastAsia"/>
          <w:kern w:val="0"/>
        </w:rPr>
        <w:t>1.3 兼顾先进性</w:t>
      </w:r>
    </w:p>
    <w:p w14:paraId="6FF1E4AC" w14:textId="77777777" w:rsidR="00136F89" w:rsidRDefault="0090020D">
      <w:pPr>
        <w:spacing w:line="360" w:lineRule="auto"/>
        <w:ind w:firstLineChars="200" w:firstLine="480"/>
      </w:pPr>
      <w:r>
        <w:rPr>
          <w:rFonts w:hint="eastAsia"/>
        </w:rPr>
        <w:t>考虑国际先进技术水平，参考美俄等国中子测井技术产业化应用经验，同时充分融入我国在中子测井领域的技术突破，如中子测井技术、测井参数模型、影响因素修正方法等创新成果，将测井仪稳定性、准确性，测井结果重复性、检查测井等先进技术指标纳入规范，确保规范能反映当前中子测井技术的较高水平，引导行业技术迭代升级，巩固我国在该领域的技术优势。</w:t>
      </w:r>
    </w:p>
    <w:p w14:paraId="2DDE9CDC" w14:textId="77777777" w:rsidR="00136F89" w:rsidRDefault="0090020D">
      <w:pPr>
        <w:spacing w:before="240" w:line="360" w:lineRule="auto"/>
        <w:rPr>
          <w:rFonts w:ascii="黑体" w:eastAsia="黑体" w:hAnsi="黑体"/>
          <w:kern w:val="0"/>
        </w:rPr>
      </w:pPr>
      <w:r>
        <w:rPr>
          <w:rFonts w:ascii="黑体" w:eastAsia="黑体" w:hAnsi="黑体" w:hint="eastAsia"/>
          <w:kern w:val="0"/>
        </w:rPr>
        <w:t>1.4 统一协调性</w:t>
      </w:r>
    </w:p>
    <w:p w14:paraId="50347FDC" w14:textId="77777777" w:rsidR="00136F89" w:rsidRPr="004A5B9E" w:rsidRDefault="0090020D">
      <w:pPr>
        <w:spacing w:line="360" w:lineRule="auto"/>
        <w:ind w:firstLineChars="200" w:firstLine="480"/>
        <w:rPr>
          <w:rFonts w:ascii="Times New Roman" w:hAnsi="Times New Roman" w:cs="Times New Roman"/>
        </w:rPr>
      </w:pPr>
      <w:r w:rsidRPr="004A5B9E">
        <w:rPr>
          <w:rFonts w:ascii="Times New Roman" w:hAnsi="Times New Roman" w:cs="Times New Roman"/>
        </w:rPr>
        <w:t>针对行业内不同单位、不同项目技术要求不统一的问题，规范明确统一的仪</w:t>
      </w:r>
      <w:r w:rsidRPr="004A5B9E">
        <w:rPr>
          <w:rFonts w:ascii="Times New Roman" w:hAnsi="Times New Roman" w:cs="Times New Roman"/>
        </w:rPr>
        <w:lastRenderedPageBreak/>
        <w:t>器性能标准、测井流程、数据处理方法与质量评价体系，避免因技术差异导致测井结果可信度不足、资源浪费等问题。同时，注重与现有相关标准的协调衔接，如与《地浸砂岩型铀矿地球物理测井规范》（</w:t>
      </w:r>
      <w:r w:rsidRPr="004A5B9E">
        <w:rPr>
          <w:rFonts w:ascii="Times New Roman" w:hAnsi="Times New Roman" w:cs="Times New Roman"/>
        </w:rPr>
        <w:t>EJ/T 1162</w:t>
      </w:r>
      <w:r w:rsidRPr="004A5B9E">
        <w:rPr>
          <w:rFonts w:ascii="Times New Roman" w:hAnsi="Times New Roman" w:cs="Times New Roman"/>
        </w:rPr>
        <w:t>）在测井设计、安全防护等共性内容上保持一致，与《</w:t>
      </w:r>
      <w:r w:rsidRPr="004A5B9E">
        <w:rPr>
          <w:rFonts w:ascii="Times New Roman" w:hAnsi="Times New Roman" w:cs="Times New Roman"/>
        </w:rPr>
        <w:t>γ</w:t>
      </w:r>
      <w:r w:rsidRPr="004A5B9E">
        <w:rPr>
          <w:rFonts w:ascii="Times New Roman" w:hAnsi="Times New Roman" w:cs="Times New Roman"/>
        </w:rPr>
        <w:t>测井规范》（</w:t>
      </w:r>
      <w:r w:rsidRPr="004A5B9E">
        <w:rPr>
          <w:rFonts w:ascii="Times New Roman" w:hAnsi="Times New Roman" w:cs="Times New Roman"/>
        </w:rPr>
        <w:t>EJ/T 611</w:t>
      </w:r>
      <w:r w:rsidRPr="004A5B9E">
        <w:rPr>
          <w:rFonts w:ascii="Times New Roman" w:hAnsi="Times New Roman" w:cs="Times New Roman"/>
        </w:rPr>
        <w:t>）、《</w:t>
      </w:r>
      <w:r w:rsidRPr="004A5B9E">
        <w:rPr>
          <w:rFonts w:ascii="Times New Roman" w:hAnsi="Times New Roman" w:cs="Times New Roman"/>
        </w:rPr>
        <w:t>γ</w:t>
      </w:r>
      <w:r w:rsidRPr="004A5B9E">
        <w:rPr>
          <w:rFonts w:ascii="Times New Roman" w:hAnsi="Times New Roman" w:cs="Times New Roman"/>
        </w:rPr>
        <w:t>能谱测井规范》（</w:t>
      </w:r>
      <w:r w:rsidRPr="004A5B9E">
        <w:rPr>
          <w:rFonts w:ascii="Times New Roman" w:hAnsi="Times New Roman" w:cs="Times New Roman"/>
        </w:rPr>
        <w:t>EJ/T 20183</w:t>
      </w:r>
      <w:r w:rsidRPr="004A5B9E">
        <w:rPr>
          <w:rFonts w:ascii="Times New Roman" w:hAnsi="Times New Roman" w:cs="Times New Roman"/>
        </w:rPr>
        <w:t>）等传统测井规范形成互补，完善铀矿测井标准体系，实现技术协同。</w:t>
      </w:r>
    </w:p>
    <w:p w14:paraId="0919EFE5" w14:textId="77777777" w:rsidR="00136F89" w:rsidRDefault="0090020D">
      <w:pPr>
        <w:spacing w:before="240" w:line="360" w:lineRule="auto"/>
        <w:rPr>
          <w:rFonts w:ascii="黑体" w:eastAsia="黑体" w:hAnsi="黑体"/>
          <w:kern w:val="0"/>
        </w:rPr>
      </w:pPr>
      <w:r>
        <w:rPr>
          <w:rFonts w:ascii="黑体" w:eastAsia="黑体" w:hAnsi="黑体" w:hint="eastAsia"/>
          <w:kern w:val="0"/>
        </w:rPr>
        <w:t>1.5 安全优先性</w:t>
      </w:r>
    </w:p>
    <w:p w14:paraId="4314D6EB" w14:textId="77777777" w:rsidR="00136F89" w:rsidRPr="004A5B9E" w:rsidRDefault="0090020D">
      <w:pPr>
        <w:spacing w:line="360" w:lineRule="auto"/>
        <w:ind w:firstLineChars="200" w:firstLine="480"/>
        <w:rPr>
          <w:rFonts w:ascii="Times New Roman" w:hAnsi="Times New Roman" w:cs="Times New Roman"/>
        </w:rPr>
      </w:pPr>
      <w:r w:rsidRPr="004A5B9E">
        <w:rPr>
          <w:rFonts w:ascii="Times New Roman" w:hAnsi="Times New Roman" w:cs="Times New Roman"/>
        </w:rPr>
        <w:t>鉴于中子测井涉及中子发生器使用，规范将辐射安全与人员防护贯穿始终。严格遵循</w:t>
      </w:r>
      <w:r w:rsidRPr="004A5B9E">
        <w:rPr>
          <w:rFonts w:ascii="Times New Roman" w:hAnsi="Times New Roman" w:cs="Times New Roman"/>
        </w:rPr>
        <w:t>GB 18871</w:t>
      </w:r>
      <w:r w:rsidRPr="004A5B9E">
        <w:rPr>
          <w:rFonts w:ascii="Times New Roman" w:hAnsi="Times New Roman" w:cs="Times New Roman"/>
        </w:rPr>
        <w:t>关于剂量限值、防护原则的要求，明确中子测井野外作业的全流程，保障作业人员健康与环境安全，杜绝放射性事故风险。</w:t>
      </w:r>
    </w:p>
    <w:p w14:paraId="1185CE17" w14:textId="77777777" w:rsidR="00136F89" w:rsidRDefault="0090020D">
      <w:pPr>
        <w:pStyle w:val="af6"/>
        <w:numPr>
          <w:ilvl w:val="0"/>
          <w:numId w:val="3"/>
        </w:numPr>
        <w:spacing w:before="240" w:after="240" w:line="360" w:lineRule="auto"/>
        <w:ind w:firstLineChars="0"/>
        <w:rPr>
          <w:rFonts w:ascii="黑体" w:eastAsia="黑体" w:hAnsi="黑体"/>
          <w:kern w:val="0"/>
        </w:rPr>
      </w:pPr>
      <w:bookmarkStart w:id="3" w:name="_Toc361669937"/>
      <w:bookmarkEnd w:id="3"/>
      <w:r>
        <w:rPr>
          <w:rFonts w:ascii="黑体" w:eastAsia="黑体" w:hAnsi="黑体" w:hint="eastAsia"/>
          <w:kern w:val="0"/>
        </w:rPr>
        <w:t>确定标准主要内容的依据</w:t>
      </w:r>
    </w:p>
    <w:p w14:paraId="553FFE3A" w14:textId="77777777" w:rsidR="00136F89" w:rsidRPr="00CF1886" w:rsidRDefault="0090020D">
      <w:pPr>
        <w:spacing w:line="360" w:lineRule="auto"/>
        <w:ind w:firstLineChars="200" w:firstLine="480"/>
        <w:rPr>
          <w:rFonts w:ascii="Times New Roman" w:hAnsi="Times New Roman" w:cs="Times New Roman"/>
        </w:rPr>
      </w:pPr>
      <w:r w:rsidRPr="00CF1886">
        <w:rPr>
          <w:rFonts w:ascii="Times New Roman" w:hAnsi="Times New Roman" w:cs="Times New Roman"/>
        </w:rPr>
        <w:t>本标准主要内容确定的依据主要参考以下标准：</w:t>
      </w:r>
    </w:p>
    <w:p w14:paraId="1308E7EA" w14:textId="363F60EA" w:rsidR="00136F89" w:rsidRPr="00CF1886" w:rsidRDefault="0090020D">
      <w:pPr>
        <w:spacing w:line="360" w:lineRule="auto"/>
        <w:ind w:firstLineChars="200" w:firstLine="480"/>
        <w:rPr>
          <w:rFonts w:ascii="Times New Roman" w:hAnsi="Times New Roman" w:cs="Times New Roman"/>
        </w:rPr>
      </w:pPr>
      <w:r w:rsidRPr="00CF1886">
        <w:rPr>
          <w:rFonts w:ascii="Times New Roman" w:hAnsi="Times New Roman" w:cs="Times New Roman"/>
        </w:rPr>
        <w:t xml:space="preserve">GB/T 1.1—2020 </w:t>
      </w:r>
      <w:r w:rsidRPr="00CF1886">
        <w:rPr>
          <w:rFonts w:ascii="Times New Roman" w:hAnsi="Times New Roman" w:cs="Times New Roman"/>
        </w:rPr>
        <w:t>《标准化工作导则</w:t>
      </w:r>
      <w:r w:rsidRPr="00CF1886">
        <w:rPr>
          <w:rFonts w:ascii="Times New Roman" w:hAnsi="Times New Roman" w:cs="Times New Roman"/>
        </w:rPr>
        <w:t xml:space="preserve"> </w:t>
      </w:r>
      <w:r w:rsidRPr="00CF1886">
        <w:rPr>
          <w:rFonts w:ascii="Times New Roman" w:hAnsi="Times New Roman" w:cs="Times New Roman"/>
        </w:rPr>
        <w:t>第</w:t>
      </w:r>
      <w:r w:rsidRPr="00CF1886">
        <w:rPr>
          <w:rFonts w:ascii="Times New Roman" w:hAnsi="Times New Roman" w:cs="Times New Roman"/>
        </w:rPr>
        <w:t>1</w:t>
      </w:r>
      <w:r w:rsidRPr="00CF1886">
        <w:rPr>
          <w:rFonts w:ascii="Times New Roman" w:hAnsi="Times New Roman" w:cs="Times New Roman"/>
        </w:rPr>
        <w:t>部分：标准化文件的结构和起草规则》</w:t>
      </w:r>
    </w:p>
    <w:p w14:paraId="57B5C49D" w14:textId="3875BB7D" w:rsidR="00136F89" w:rsidRPr="00CF1886" w:rsidRDefault="0090020D">
      <w:pPr>
        <w:spacing w:line="360" w:lineRule="auto"/>
        <w:ind w:firstLineChars="200" w:firstLine="480"/>
        <w:rPr>
          <w:rFonts w:ascii="Times New Roman" w:hAnsi="Times New Roman" w:cs="Times New Roman"/>
        </w:rPr>
      </w:pPr>
      <w:r w:rsidRPr="00CF1886">
        <w:rPr>
          <w:rFonts w:ascii="Times New Roman" w:hAnsi="Times New Roman" w:cs="Times New Roman"/>
        </w:rPr>
        <w:t xml:space="preserve">GB 18871 </w:t>
      </w:r>
      <w:r w:rsidRPr="00CF1886">
        <w:rPr>
          <w:rFonts w:ascii="Times New Roman" w:hAnsi="Times New Roman" w:cs="Times New Roman"/>
        </w:rPr>
        <w:t>《电离辐射防护与辐射源安全基本标准》</w:t>
      </w:r>
    </w:p>
    <w:p w14:paraId="7344953F" w14:textId="17A67305" w:rsidR="00136F89" w:rsidRPr="00CF1886" w:rsidRDefault="0090020D">
      <w:pPr>
        <w:spacing w:line="360" w:lineRule="auto"/>
        <w:ind w:firstLineChars="200" w:firstLine="480"/>
        <w:rPr>
          <w:rFonts w:ascii="Times New Roman" w:hAnsi="Times New Roman" w:cs="Times New Roman"/>
        </w:rPr>
      </w:pPr>
      <w:r w:rsidRPr="00CF1886">
        <w:rPr>
          <w:rFonts w:ascii="Times New Roman" w:hAnsi="Times New Roman" w:cs="Times New Roman"/>
        </w:rPr>
        <w:t>JJG</w:t>
      </w:r>
      <w:r w:rsidRPr="00CF1886">
        <w:rPr>
          <w:rFonts w:ascii="Times New Roman" w:hAnsi="Times New Roman" w:cs="Times New Roman"/>
        </w:rPr>
        <w:t>（军工）</w:t>
      </w:r>
      <w:r w:rsidRPr="00CF1886">
        <w:rPr>
          <w:rFonts w:ascii="Times New Roman" w:hAnsi="Times New Roman" w:cs="Times New Roman"/>
        </w:rPr>
        <w:t xml:space="preserve">151 </w:t>
      </w:r>
      <w:r w:rsidRPr="00CF1886">
        <w:rPr>
          <w:rFonts w:ascii="Times New Roman" w:hAnsi="Times New Roman" w:cs="Times New Roman"/>
        </w:rPr>
        <w:t>《裂变中子测井仪检定规程》</w:t>
      </w:r>
    </w:p>
    <w:p w14:paraId="291E8667" w14:textId="67973AAA" w:rsidR="00136F89" w:rsidRPr="00CF1886" w:rsidRDefault="0090020D">
      <w:pPr>
        <w:spacing w:line="360" w:lineRule="auto"/>
        <w:ind w:firstLineChars="200" w:firstLine="480"/>
        <w:rPr>
          <w:rFonts w:ascii="Times New Roman" w:hAnsi="Times New Roman" w:cs="Times New Roman"/>
        </w:rPr>
      </w:pPr>
      <w:r w:rsidRPr="00CF1886">
        <w:rPr>
          <w:rFonts w:ascii="Times New Roman" w:hAnsi="Times New Roman" w:cs="Times New Roman"/>
        </w:rPr>
        <w:t xml:space="preserve">EJ/T 1162 </w:t>
      </w:r>
      <w:r w:rsidRPr="00CF1886">
        <w:rPr>
          <w:rFonts w:ascii="Times New Roman" w:hAnsi="Times New Roman" w:cs="Times New Roman"/>
        </w:rPr>
        <w:t>《地浸砂岩型铀矿地球物理测井规范》</w:t>
      </w:r>
    </w:p>
    <w:p w14:paraId="1316E248" w14:textId="77777777" w:rsidR="00136F89" w:rsidRDefault="0090020D">
      <w:pPr>
        <w:numPr>
          <w:ilvl w:val="0"/>
          <w:numId w:val="1"/>
        </w:numPr>
        <w:spacing w:before="240" w:after="240" w:line="360" w:lineRule="auto"/>
        <w:rPr>
          <w:rFonts w:ascii="黑体" w:eastAsia="黑体"/>
          <w:sz w:val="28"/>
          <w:szCs w:val="28"/>
        </w:rPr>
      </w:pPr>
      <w:r>
        <w:rPr>
          <w:rFonts w:ascii="黑体" w:eastAsia="黑体" w:hAnsi="宋体" w:hint="eastAsia"/>
          <w:sz w:val="28"/>
          <w:szCs w:val="28"/>
        </w:rPr>
        <w:t>标准主要</w:t>
      </w:r>
      <w:r>
        <w:rPr>
          <w:rFonts w:ascii="黑体" w:eastAsia="黑体" w:hAnsi="宋体"/>
          <w:sz w:val="28"/>
          <w:szCs w:val="28"/>
        </w:rPr>
        <w:t>内容的确定</w:t>
      </w:r>
    </w:p>
    <w:p w14:paraId="6FF394DB" w14:textId="77777777" w:rsidR="00136F89" w:rsidRDefault="0090020D">
      <w:pPr>
        <w:spacing w:line="360" w:lineRule="auto"/>
        <w:ind w:firstLineChars="200" w:firstLine="480"/>
      </w:pPr>
      <w:r>
        <w:rPr>
          <w:rFonts w:hint="eastAsia"/>
        </w:rPr>
        <w:t>标准主要内容分为：范围、规范引用文件、术语和定义、仪器设备、测井准备、测井方法和要求、数据处理与解释、质量要求、安全防护等九个部分。主要说明如下：</w:t>
      </w:r>
    </w:p>
    <w:p w14:paraId="6EA2984E" w14:textId="77777777" w:rsidR="00136F89" w:rsidRDefault="0090020D">
      <w:pPr>
        <w:pStyle w:val="af6"/>
        <w:numPr>
          <w:ilvl w:val="0"/>
          <w:numId w:val="4"/>
        </w:numPr>
        <w:spacing w:before="240" w:after="240" w:line="360" w:lineRule="auto"/>
        <w:ind w:firstLineChars="0"/>
        <w:rPr>
          <w:rFonts w:ascii="黑体" w:eastAsia="黑体" w:hAnsi="黑体"/>
          <w:kern w:val="0"/>
        </w:rPr>
      </w:pPr>
      <w:r>
        <w:rPr>
          <w:rFonts w:ascii="黑体" w:eastAsia="黑体" w:hAnsi="黑体" w:hint="eastAsia"/>
          <w:kern w:val="0"/>
        </w:rPr>
        <w:t>范围</w:t>
      </w:r>
    </w:p>
    <w:p w14:paraId="6EB9E730" w14:textId="77777777" w:rsidR="00136F89" w:rsidRDefault="0090020D">
      <w:pPr>
        <w:spacing w:line="360" w:lineRule="auto"/>
        <w:ind w:firstLineChars="200" w:firstLine="480"/>
      </w:pPr>
      <w:r>
        <w:rPr>
          <w:rFonts w:hint="eastAsia"/>
        </w:rPr>
        <w:t>采用规范性叙述方式，对范围进行表述：</w:t>
      </w:r>
    </w:p>
    <w:p w14:paraId="6CE70A34" w14:textId="77777777" w:rsidR="00136F89" w:rsidRDefault="0090020D">
      <w:pPr>
        <w:spacing w:line="360" w:lineRule="auto"/>
        <w:ind w:firstLineChars="200" w:firstLine="480"/>
      </w:pPr>
      <w:r>
        <w:rPr>
          <w:rFonts w:hint="eastAsia"/>
        </w:rPr>
        <w:t>本文件规定了铀裂变瞬发中子测井（以下简称“中子测井”）工作的仪器设备、测井方法、数据处理解释、质量要求和安全防护等内容。</w:t>
      </w:r>
    </w:p>
    <w:p w14:paraId="767F7123" w14:textId="77777777" w:rsidR="00136F89" w:rsidRDefault="0090020D">
      <w:pPr>
        <w:spacing w:line="360" w:lineRule="auto"/>
        <w:ind w:firstLineChars="200" w:firstLine="480"/>
      </w:pPr>
      <w:r>
        <w:rPr>
          <w:rFonts w:hint="eastAsia"/>
        </w:rPr>
        <w:t>本文件适用于铀矿地质勘查和地浸采冶用铀裂变瞬发中子测井。</w:t>
      </w:r>
    </w:p>
    <w:p w14:paraId="12243C7C" w14:textId="77777777" w:rsidR="00136F89" w:rsidRDefault="0090020D">
      <w:pPr>
        <w:pStyle w:val="af6"/>
        <w:numPr>
          <w:ilvl w:val="0"/>
          <w:numId w:val="4"/>
        </w:numPr>
        <w:spacing w:before="240" w:after="240" w:line="360" w:lineRule="auto"/>
        <w:ind w:firstLineChars="0"/>
        <w:rPr>
          <w:rFonts w:ascii="黑体" w:eastAsia="黑体" w:hAnsi="黑体"/>
          <w:kern w:val="0"/>
        </w:rPr>
      </w:pPr>
      <w:r>
        <w:rPr>
          <w:rFonts w:ascii="黑体" w:eastAsia="黑体" w:hAnsi="黑体" w:hint="eastAsia"/>
          <w:kern w:val="0"/>
        </w:rPr>
        <w:lastRenderedPageBreak/>
        <w:t>规范引用文件</w:t>
      </w:r>
    </w:p>
    <w:p w14:paraId="133122C3"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采用规范性叙述方式，对规范引用文件进行表述：</w:t>
      </w:r>
    </w:p>
    <w:p w14:paraId="5F0F51C7"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69C12F4F"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 xml:space="preserve">GB 18871  </w:t>
      </w:r>
      <w:r>
        <w:rPr>
          <w:rFonts w:ascii="Times New Roman" w:hAnsi="Times New Roman" w:cs="Times New Roman"/>
        </w:rPr>
        <w:t>电离辐射防护与辐射源安全基本标准</w:t>
      </w:r>
    </w:p>
    <w:p w14:paraId="59C7D234"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JJG</w:t>
      </w:r>
      <w:r>
        <w:rPr>
          <w:rFonts w:ascii="Times New Roman" w:hAnsi="Times New Roman" w:cs="Times New Roman"/>
        </w:rPr>
        <w:t>（军工）</w:t>
      </w:r>
      <w:r>
        <w:rPr>
          <w:rFonts w:ascii="Times New Roman" w:hAnsi="Times New Roman" w:cs="Times New Roman"/>
        </w:rPr>
        <w:t xml:space="preserve">151-2017 </w:t>
      </w:r>
      <w:r>
        <w:rPr>
          <w:rFonts w:ascii="Times New Roman" w:hAnsi="Times New Roman" w:cs="Times New Roman"/>
        </w:rPr>
        <w:t>裂变中子测井仪检定规程</w:t>
      </w:r>
    </w:p>
    <w:p w14:paraId="61D80548" w14:textId="77777777" w:rsidR="00136F89" w:rsidRDefault="0090020D">
      <w:pPr>
        <w:pStyle w:val="af6"/>
        <w:numPr>
          <w:ilvl w:val="0"/>
          <w:numId w:val="4"/>
        </w:numPr>
        <w:spacing w:before="240" w:after="240" w:line="360" w:lineRule="auto"/>
        <w:ind w:firstLineChars="0"/>
        <w:rPr>
          <w:rFonts w:ascii="黑体" w:eastAsia="黑体" w:hAnsi="黑体"/>
          <w:kern w:val="0"/>
        </w:rPr>
      </w:pPr>
      <w:r>
        <w:rPr>
          <w:rFonts w:ascii="黑体" w:eastAsia="黑体" w:hAnsi="黑体" w:hint="eastAsia"/>
          <w:kern w:val="0"/>
        </w:rPr>
        <w:t>术语和定义</w:t>
      </w:r>
    </w:p>
    <w:p w14:paraId="374F86AE" w14:textId="77777777" w:rsidR="00136F89" w:rsidRDefault="0090020D">
      <w:pPr>
        <w:spacing w:line="360" w:lineRule="auto"/>
        <w:ind w:firstLineChars="200" w:firstLine="480"/>
      </w:pPr>
      <w:r>
        <w:rPr>
          <w:rFonts w:hint="eastAsia"/>
        </w:rPr>
        <w:t>根据中子测井实际工作需要，对“铀裂变瞬发中子测井”、“铀含量灵敏度系数”等术语和定义进行了明确。</w:t>
      </w:r>
    </w:p>
    <w:p w14:paraId="00EE8DCB" w14:textId="77777777" w:rsidR="00136F89" w:rsidRDefault="0090020D">
      <w:pPr>
        <w:pStyle w:val="af6"/>
        <w:numPr>
          <w:ilvl w:val="0"/>
          <w:numId w:val="4"/>
        </w:numPr>
        <w:spacing w:before="240" w:after="240" w:line="360" w:lineRule="auto"/>
        <w:ind w:firstLineChars="0"/>
        <w:rPr>
          <w:rFonts w:ascii="黑体" w:eastAsia="黑体" w:hAnsi="黑体"/>
          <w:kern w:val="0"/>
        </w:rPr>
      </w:pPr>
      <w:r>
        <w:rPr>
          <w:rFonts w:ascii="黑体" w:eastAsia="黑体" w:hAnsi="黑体" w:hint="eastAsia"/>
          <w:kern w:val="0"/>
        </w:rPr>
        <w:t>仪器设备</w:t>
      </w:r>
    </w:p>
    <w:p w14:paraId="5AC24A49" w14:textId="77777777" w:rsidR="00136F89" w:rsidRDefault="0090020D">
      <w:pPr>
        <w:spacing w:before="240" w:line="360" w:lineRule="auto"/>
        <w:rPr>
          <w:rFonts w:ascii="黑体" w:eastAsia="黑体" w:hAnsi="黑体"/>
          <w:kern w:val="0"/>
        </w:rPr>
      </w:pPr>
      <w:r>
        <w:rPr>
          <w:rFonts w:ascii="黑体" w:eastAsia="黑体" w:hAnsi="黑体" w:hint="eastAsia"/>
          <w:kern w:val="0"/>
        </w:rPr>
        <w:t>4.1 短期稳定性</w:t>
      </w:r>
    </w:p>
    <w:p w14:paraId="6AA8AC6F"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2025</w:t>
      </w:r>
      <w:r>
        <w:rPr>
          <w:rFonts w:ascii="Times New Roman" w:hAnsi="Times New Roman" w:cs="Times New Roman"/>
        </w:rPr>
        <w:t>年，针对中子测井仪的短期稳定性开展了</w:t>
      </w:r>
      <w:r>
        <w:rPr>
          <w:rFonts w:ascii="Times New Roman" w:hAnsi="Times New Roman" w:cs="Times New Roman"/>
        </w:rPr>
        <w:t>2</w:t>
      </w:r>
      <w:r>
        <w:rPr>
          <w:rFonts w:ascii="Times New Roman" w:hAnsi="Times New Roman" w:cs="Times New Roman"/>
        </w:rPr>
        <w:t>次测试，每次测试均使用裂变中子测井模型</w:t>
      </w:r>
      <w:r>
        <w:rPr>
          <w:rFonts w:ascii="Times New Roman" w:hAnsi="Times New Roman" w:cs="Times New Roman"/>
        </w:rPr>
        <w:t>Nu-3</w:t>
      </w:r>
      <w:r>
        <w:rPr>
          <w:rFonts w:ascii="Times New Roman" w:hAnsi="Times New Roman" w:cs="Times New Roman"/>
        </w:rPr>
        <w:t>测量。将</w:t>
      </w:r>
      <w:proofErr w:type="gramStart"/>
      <w:r>
        <w:rPr>
          <w:rFonts w:ascii="Times New Roman" w:hAnsi="Times New Roman" w:cs="Times New Roman"/>
        </w:rPr>
        <w:t>测井仪探管置于</w:t>
      </w:r>
      <w:proofErr w:type="gramEnd"/>
      <w:r>
        <w:rPr>
          <w:rFonts w:ascii="Times New Roman" w:hAnsi="Times New Roman" w:cs="Times New Roman"/>
        </w:rPr>
        <w:t>模型井孔中，中子发生器刻痕与模型中心点对准，每小时测量一组数据，每组数据连续测量</w:t>
      </w:r>
      <w:r>
        <w:rPr>
          <w:rFonts w:ascii="Times New Roman" w:hAnsi="Times New Roman" w:cs="Times New Roman"/>
        </w:rPr>
        <w:t>10min</w:t>
      </w:r>
      <w:r>
        <w:rPr>
          <w:rFonts w:ascii="Times New Roman" w:hAnsi="Times New Roman" w:cs="Times New Roman"/>
        </w:rPr>
        <w:t>，以等时间间隔连续测量</w:t>
      </w:r>
      <w:r>
        <w:rPr>
          <w:rFonts w:ascii="Times New Roman" w:hAnsi="Times New Roman" w:cs="Times New Roman"/>
        </w:rPr>
        <w:t>8</w:t>
      </w:r>
      <w:r>
        <w:rPr>
          <w:rFonts w:ascii="Times New Roman" w:hAnsi="Times New Roman" w:cs="Times New Roman"/>
        </w:rPr>
        <w:t>次，采用下式计算中子时间谱特征参数的稳定性。</w:t>
      </w:r>
    </w:p>
    <w:p w14:paraId="63EC026D" w14:textId="265B787F" w:rsidR="00136F89" w:rsidRPr="007A2828" w:rsidRDefault="00000000">
      <w:pPr>
        <w:tabs>
          <w:tab w:val="left" w:pos="7513"/>
        </w:tabs>
        <w:spacing w:line="360" w:lineRule="auto"/>
        <w:ind w:firstLineChars="400" w:firstLine="960"/>
        <w:rPr>
          <w:rFonts w:ascii="Times New Roman" w:eastAsia="仿宋" w:hAnsi="Times New Roman" w:cs="Times New Roman"/>
          <w:szCs w:val="24"/>
        </w:rPr>
      </w:pPr>
      <m:oMath>
        <m:sSub>
          <m:sSubPr>
            <m:ctrlPr>
              <w:rPr>
                <w:rFonts w:ascii="Cambria Math" w:eastAsia="仿宋" w:hAnsi="Cambria Math" w:cs="Times New Roman"/>
                <w:i/>
                <w:szCs w:val="24"/>
              </w:rPr>
            </m:ctrlPr>
          </m:sSubPr>
          <m:e>
            <m:r>
              <w:rPr>
                <w:rFonts w:ascii="Cambria Math" w:eastAsia="仿宋" w:hAnsi="Cambria Math" w:cs="Times New Roman"/>
                <w:szCs w:val="24"/>
              </w:rPr>
              <m:t>δ</m:t>
            </m:r>
          </m:e>
          <m:sub>
            <m:r>
              <w:rPr>
                <w:rFonts w:ascii="Cambria Math" w:eastAsia="仿宋" w:hAnsi="Cambria Math" w:cs="Times New Roman"/>
                <w:szCs w:val="24"/>
              </w:rPr>
              <m:t>1</m:t>
            </m:r>
          </m:sub>
        </m:sSub>
        <m:r>
          <w:rPr>
            <w:rFonts w:ascii="Cambria Math" w:eastAsia="仿宋" w:hAnsi="Cambria Math" w:cs="Times New Roman"/>
            <w:szCs w:val="24"/>
          </w:rPr>
          <m:t>=</m:t>
        </m:r>
        <m:f>
          <m:fPr>
            <m:ctrlPr>
              <w:rPr>
                <w:rFonts w:ascii="Cambria Math" w:eastAsia="仿宋" w:hAnsi="Cambria Math" w:cs="Times New Roman"/>
                <w:i/>
                <w:szCs w:val="24"/>
              </w:rPr>
            </m:ctrlPr>
          </m:fPr>
          <m:num>
            <m:func>
              <m:funcPr>
                <m:ctrlPr>
                  <w:rPr>
                    <w:rFonts w:ascii="Cambria Math" w:eastAsia="仿宋" w:hAnsi="Cambria Math" w:cs="Times New Roman"/>
                    <w:i/>
                    <w:szCs w:val="24"/>
                  </w:rPr>
                </m:ctrlPr>
              </m:funcPr>
              <m:fName>
                <m:limLow>
                  <m:limLowPr>
                    <m:ctrlPr>
                      <w:rPr>
                        <w:rFonts w:ascii="Cambria Math" w:eastAsia="仿宋" w:hAnsi="Cambria Math" w:cs="Times New Roman"/>
                        <w:i/>
                        <w:szCs w:val="24"/>
                      </w:rPr>
                    </m:ctrlPr>
                  </m:limLowPr>
                  <m:e>
                    <m:r>
                      <m:rPr>
                        <m:sty m:val="p"/>
                      </m:rPr>
                      <w:rPr>
                        <w:rFonts w:ascii="Cambria Math" w:eastAsia="仿宋" w:hAnsi="Cambria Math" w:cs="Times New Roman"/>
                        <w:szCs w:val="24"/>
                      </w:rPr>
                      <m:t>max</m:t>
                    </m:r>
                  </m:e>
                  <m:lim>
                    <m:r>
                      <w:rPr>
                        <w:rFonts w:ascii="Cambria Math" w:eastAsia="仿宋" w:hAnsi="Cambria Math" w:cs="Times New Roman"/>
                        <w:szCs w:val="24"/>
                      </w:rPr>
                      <m:t>1≤i≤n</m:t>
                    </m:r>
                  </m:lim>
                </m:limLow>
              </m:fName>
              <m:e>
                <m:d>
                  <m:dPr>
                    <m:begChr m:val="|"/>
                    <m:endChr m:val="|"/>
                    <m:ctrlPr>
                      <w:rPr>
                        <w:rFonts w:ascii="Cambria Math" w:eastAsia="仿宋" w:hAnsi="Cambria Math" w:cs="Times New Roman"/>
                        <w:i/>
                        <w:szCs w:val="24"/>
                      </w:rPr>
                    </m:ctrlPr>
                  </m:dPr>
                  <m:e>
                    <m:sSub>
                      <m:sSubPr>
                        <m:ctrlPr>
                          <w:rPr>
                            <w:rFonts w:ascii="Cambria Math" w:eastAsia="仿宋" w:hAnsi="Cambria Math" w:cs="Times New Roman"/>
                            <w:i/>
                            <w:szCs w:val="24"/>
                          </w:rPr>
                        </m:ctrlPr>
                      </m:sSubPr>
                      <m:e>
                        <m:r>
                          <w:rPr>
                            <w:rFonts w:ascii="Cambria Math" w:eastAsia="仿宋" w:hAnsi="Cambria Math" w:cs="Times New Roman"/>
                            <w:szCs w:val="24"/>
                          </w:rPr>
                          <m:t>N</m:t>
                        </m:r>
                      </m:e>
                      <m:sub>
                        <m:r>
                          <w:rPr>
                            <w:rFonts w:ascii="Cambria Math" w:eastAsia="仿宋" w:hAnsi="Cambria Math" w:cs="Times New Roman"/>
                            <w:szCs w:val="24"/>
                          </w:rPr>
                          <m:t>i</m:t>
                        </m:r>
                      </m:sub>
                    </m:sSub>
                    <m:r>
                      <w:rPr>
                        <w:rFonts w:ascii="Cambria Math" w:eastAsia="仿宋" w:hAnsi="Cambria Math" w:cs="Times New Roman"/>
                        <w:szCs w:val="24"/>
                      </w:rPr>
                      <m:t>-</m:t>
                    </m:r>
                    <m:acc>
                      <m:accPr>
                        <m:chr m:val="̅"/>
                        <m:ctrlPr>
                          <w:rPr>
                            <w:rFonts w:ascii="Cambria Math" w:eastAsia="仿宋" w:hAnsi="Cambria Math" w:cs="Times New Roman"/>
                            <w:i/>
                            <w:szCs w:val="24"/>
                          </w:rPr>
                        </m:ctrlPr>
                      </m:accPr>
                      <m:e>
                        <m:r>
                          <w:rPr>
                            <w:rFonts w:ascii="Cambria Math" w:eastAsia="仿宋" w:hAnsi="Cambria Math" w:cs="Times New Roman"/>
                            <w:szCs w:val="24"/>
                          </w:rPr>
                          <m:t>N</m:t>
                        </m:r>
                      </m:e>
                    </m:acc>
                  </m:e>
                </m:d>
              </m:e>
            </m:func>
          </m:num>
          <m:den>
            <m:acc>
              <m:accPr>
                <m:chr m:val="̅"/>
                <m:ctrlPr>
                  <w:rPr>
                    <w:rFonts w:ascii="Cambria Math" w:eastAsia="仿宋" w:hAnsi="Cambria Math" w:cs="Times New Roman"/>
                    <w:i/>
                    <w:szCs w:val="24"/>
                  </w:rPr>
                </m:ctrlPr>
              </m:accPr>
              <m:e>
                <m:r>
                  <w:rPr>
                    <w:rFonts w:ascii="Cambria Math" w:eastAsia="仿宋" w:hAnsi="Cambria Math" w:cs="Times New Roman"/>
                    <w:szCs w:val="24"/>
                  </w:rPr>
                  <m:t>N</m:t>
                </m:r>
              </m:e>
            </m:acc>
          </m:den>
        </m:f>
        <m:r>
          <w:rPr>
            <w:rFonts w:ascii="Cambria Math" w:eastAsia="仿宋" w:hAnsi="Cambria Math" w:cs="Times New Roman"/>
            <w:szCs w:val="24"/>
          </w:rPr>
          <m:t>×100%</m:t>
        </m:r>
      </m:oMath>
      <w:r w:rsidR="0090020D" w:rsidRPr="007A2828">
        <w:rPr>
          <w:rFonts w:ascii="Times New Roman" w:eastAsia="仿宋" w:hAnsi="Times New Roman" w:cs="Times New Roman"/>
          <w:szCs w:val="24"/>
        </w:rPr>
        <w:tab/>
        <w:t>(</w:t>
      </w:r>
      <w:r w:rsidR="007A2828">
        <w:rPr>
          <w:rFonts w:ascii="Times New Roman" w:eastAsia="仿宋" w:hAnsi="Times New Roman" w:cs="Times New Roman" w:hint="eastAsia"/>
          <w:szCs w:val="24"/>
        </w:rPr>
        <w:t>4</w:t>
      </w:r>
      <w:r w:rsidR="0090020D" w:rsidRPr="007A2828">
        <w:rPr>
          <w:rFonts w:ascii="Times New Roman" w:eastAsia="仿宋" w:hAnsi="Times New Roman" w:cs="Times New Roman"/>
          <w:szCs w:val="24"/>
        </w:rPr>
        <w:t>-</w:t>
      </w:r>
      <w:r w:rsidR="0090020D" w:rsidRPr="007A2828">
        <w:rPr>
          <w:rFonts w:ascii="Times New Roman" w:eastAsia="仿宋" w:hAnsi="Times New Roman" w:cs="Times New Roman"/>
          <w:szCs w:val="24"/>
        </w:rPr>
        <w:fldChar w:fldCharType="begin"/>
      </w:r>
      <w:r w:rsidR="0090020D" w:rsidRPr="007A2828">
        <w:rPr>
          <w:rFonts w:ascii="Times New Roman" w:eastAsia="仿宋" w:hAnsi="Times New Roman" w:cs="Times New Roman"/>
          <w:szCs w:val="24"/>
        </w:rPr>
        <w:instrText xml:space="preserve"> SEQ </w:instrText>
      </w:r>
      <w:r w:rsidR="0090020D" w:rsidRPr="007A2828">
        <w:rPr>
          <w:rFonts w:ascii="Times New Roman" w:eastAsia="仿宋" w:hAnsi="Times New Roman" w:cs="Times New Roman"/>
          <w:szCs w:val="24"/>
        </w:rPr>
        <w:instrText>公式</w:instrText>
      </w:r>
      <w:r w:rsidR="0090020D" w:rsidRPr="007A2828">
        <w:rPr>
          <w:rFonts w:ascii="Times New Roman" w:eastAsia="仿宋" w:hAnsi="Times New Roman" w:cs="Times New Roman"/>
          <w:szCs w:val="24"/>
        </w:rPr>
        <w:instrText xml:space="preserve"> \* ARABIC \s 1 </w:instrText>
      </w:r>
      <w:r w:rsidR="0090020D" w:rsidRPr="007A2828">
        <w:rPr>
          <w:rFonts w:ascii="Times New Roman" w:eastAsia="仿宋" w:hAnsi="Times New Roman" w:cs="Times New Roman"/>
          <w:szCs w:val="24"/>
        </w:rPr>
        <w:fldChar w:fldCharType="separate"/>
      </w:r>
      <w:r w:rsidR="007A2828" w:rsidRPr="007A2828">
        <w:rPr>
          <w:rFonts w:ascii="Times New Roman" w:eastAsia="仿宋" w:hAnsi="Times New Roman" w:cs="Times New Roman"/>
          <w:noProof/>
          <w:szCs w:val="24"/>
        </w:rPr>
        <w:t>1</w:t>
      </w:r>
      <w:r w:rsidR="0090020D" w:rsidRPr="007A2828">
        <w:rPr>
          <w:rFonts w:ascii="Times New Roman" w:eastAsia="仿宋" w:hAnsi="Times New Roman" w:cs="Times New Roman"/>
          <w:szCs w:val="24"/>
        </w:rPr>
        <w:fldChar w:fldCharType="end"/>
      </w:r>
      <w:r w:rsidR="0090020D" w:rsidRPr="007A2828">
        <w:rPr>
          <w:rFonts w:ascii="Times New Roman" w:eastAsia="仿宋" w:hAnsi="Times New Roman" w:cs="Times New Roman"/>
          <w:szCs w:val="24"/>
        </w:rPr>
        <w:t>)</w:t>
      </w:r>
    </w:p>
    <w:p w14:paraId="70260336"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式中，</w:t>
      </w:r>
      <w:r>
        <w:rPr>
          <w:rFonts w:ascii="Times New Roman" w:hAnsi="Times New Roman" w:cs="Times New Roman"/>
        </w:rPr>
        <w:t>δ</w:t>
      </w:r>
      <w:r>
        <w:rPr>
          <w:rFonts w:ascii="Times New Roman" w:hAnsi="Times New Roman" w:cs="Times New Roman"/>
          <w:vertAlign w:val="subscript"/>
        </w:rPr>
        <w:t>1</w:t>
      </w:r>
      <w:r>
        <w:rPr>
          <w:rFonts w:ascii="Times New Roman" w:hAnsi="Times New Roman" w:cs="Times New Roman"/>
        </w:rPr>
        <w:t>为中子测井仪的短期稳定性，</w:t>
      </w:r>
      <w:r>
        <w:rPr>
          <w:rFonts w:ascii="Times New Roman" w:hAnsi="Times New Roman" w:cs="Times New Roman"/>
        </w:rPr>
        <w:t>%</w:t>
      </w:r>
      <w:r>
        <w:rPr>
          <w:rFonts w:ascii="Times New Roman" w:hAnsi="Times New Roman" w:cs="Times New Roman"/>
        </w:rPr>
        <w:t>；</w:t>
      </w:r>
      <w:r>
        <w:rPr>
          <w:rFonts w:ascii="Times New Roman" w:hAnsi="Times New Roman" w:cs="Times New Roman"/>
          <w:i/>
          <w:iCs/>
        </w:rPr>
        <w:t>N</w:t>
      </w:r>
      <w:r>
        <w:rPr>
          <w:rFonts w:ascii="Times New Roman" w:hAnsi="Times New Roman" w:cs="Times New Roman"/>
          <w:vertAlign w:val="subscript"/>
        </w:rPr>
        <w:t>i</w:t>
      </w:r>
      <w:r>
        <w:rPr>
          <w:rFonts w:ascii="Times New Roman" w:hAnsi="Times New Roman" w:cs="Times New Roman"/>
        </w:rPr>
        <w:t>为第</w:t>
      </w:r>
      <w:r>
        <w:rPr>
          <w:rFonts w:ascii="Times New Roman" w:hAnsi="Times New Roman" w:cs="Times New Roman"/>
        </w:rPr>
        <w:t>i</w:t>
      </w:r>
      <w:r>
        <w:rPr>
          <w:rFonts w:ascii="Times New Roman" w:hAnsi="Times New Roman" w:cs="Times New Roman"/>
        </w:rPr>
        <w:t>组中子时间谱特征参数的算术平均值，</w:t>
      </w:r>
      <w:r>
        <w:rPr>
          <w:rFonts w:ascii="Times New Roman" w:hAnsi="Times New Roman" w:cs="Times New Roman"/>
        </w:rPr>
        <w:t>s</w:t>
      </w:r>
      <w:r>
        <w:rPr>
          <w:rFonts w:ascii="Times New Roman" w:hAnsi="Times New Roman" w:cs="Times New Roman"/>
          <w:vertAlign w:val="superscript"/>
        </w:rPr>
        <w:t>-1</w:t>
      </w:r>
      <w:r>
        <w:rPr>
          <w:rFonts w:ascii="Times New Roman" w:hAnsi="Times New Roman" w:cs="Times New Roman"/>
        </w:rPr>
        <w:t>；</w:t>
      </w:r>
      <m:oMath>
        <m:acc>
          <m:accPr>
            <m:chr m:val="̅"/>
            <m:ctrlPr>
              <w:rPr>
                <w:rFonts w:ascii="Cambria Math" w:hAnsi="Cambria Math" w:cs="Times New Roman"/>
                <w:i/>
                <w:iCs/>
              </w:rPr>
            </m:ctrlPr>
          </m:accPr>
          <m:e>
            <m:r>
              <m:rPr>
                <m:nor/>
              </m:rPr>
              <w:rPr>
                <w:rFonts w:ascii="Times New Roman" w:hAnsi="Times New Roman" w:cs="Times New Roman"/>
                <w:i/>
                <w:iCs/>
              </w:rPr>
              <m:t>N</m:t>
            </m:r>
          </m:e>
        </m:acc>
      </m:oMath>
      <w:r>
        <w:rPr>
          <w:rFonts w:ascii="Times New Roman" w:hAnsi="Times New Roman" w:cs="Times New Roman"/>
        </w:rPr>
        <w:t>为</w:t>
      </w:r>
      <w:r>
        <w:rPr>
          <w:rFonts w:ascii="Times New Roman" w:hAnsi="Times New Roman" w:cs="Times New Roman"/>
        </w:rPr>
        <w:t>8</w:t>
      </w:r>
      <w:r>
        <w:rPr>
          <w:rFonts w:ascii="Times New Roman" w:hAnsi="Times New Roman" w:cs="Times New Roman"/>
        </w:rPr>
        <w:t>组特征参数的算术平均值，</w:t>
      </w:r>
      <w:r>
        <w:rPr>
          <w:rFonts w:ascii="Times New Roman" w:hAnsi="Times New Roman" w:cs="Times New Roman"/>
        </w:rPr>
        <w:t>s</w:t>
      </w:r>
      <w:r>
        <w:rPr>
          <w:rFonts w:ascii="Times New Roman" w:hAnsi="Times New Roman" w:cs="Times New Roman"/>
          <w:vertAlign w:val="superscript"/>
        </w:rPr>
        <w:t>-1</w:t>
      </w:r>
      <w:r>
        <w:rPr>
          <w:rFonts w:ascii="Times New Roman" w:hAnsi="Times New Roman" w:cs="Times New Roman"/>
        </w:rPr>
        <w:t>。</w:t>
      </w:r>
    </w:p>
    <w:p w14:paraId="7D5612DE"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经测试，</w:t>
      </w:r>
      <w:r>
        <w:rPr>
          <w:rFonts w:ascii="Times New Roman" w:hAnsi="Times New Roman" w:cs="Times New Roman"/>
        </w:rPr>
        <w:t>2025</w:t>
      </w:r>
      <w:r>
        <w:rPr>
          <w:rFonts w:ascii="Times New Roman" w:hAnsi="Times New Roman" w:cs="Times New Roman"/>
        </w:rPr>
        <w:t>年</w:t>
      </w:r>
      <w:r>
        <w:rPr>
          <w:rFonts w:ascii="Times New Roman" w:hAnsi="Times New Roman" w:cs="Times New Roman"/>
        </w:rPr>
        <w:t>6</w:t>
      </w:r>
      <w:r>
        <w:rPr>
          <w:rFonts w:ascii="Times New Roman" w:hAnsi="Times New Roman" w:cs="Times New Roman"/>
        </w:rPr>
        <w:t>月</w:t>
      </w:r>
      <w:r>
        <w:rPr>
          <w:rFonts w:ascii="Times New Roman" w:hAnsi="Times New Roman" w:cs="Times New Roman"/>
        </w:rPr>
        <w:t>13</w:t>
      </w:r>
      <w:r>
        <w:rPr>
          <w:rFonts w:ascii="Times New Roman" w:hAnsi="Times New Roman" w:cs="Times New Roman"/>
        </w:rPr>
        <w:t>日的短期稳定性测试结果见</w:t>
      </w:r>
      <w:r>
        <w:rPr>
          <w:rFonts w:ascii="Times New Roman" w:hAnsi="Times New Roman" w:cs="Times New Roman"/>
        </w:rPr>
        <w:fldChar w:fldCharType="begin"/>
      </w:r>
      <w:r>
        <w:rPr>
          <w:rFonts w:ascii="Times New Roman" w:hAnsi="Times New Roman" w:cs="Times New Roman"/>
        </w:rPr>
        <w:instrText xml:space="preserve"> REF _Ref15928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表</w:t>
      </w:r>
      <w:r>
        <w:rPr>
          <w:rFonts w:ascii="Times New Roman" w:hAnsi="Times New Roman" w:cs="Times New Roman"/>
        </w:rPr>
        <w:t>4-1</w:t>
      </w:r>
      <w:r>
        <w:rPr>
          <w:rFonts w:ascii="Times New Roman" w:hAnsi="Times New Roman" w:cs="Times New Roman"/>
        </w:rPr>
        <w:fldChar w:fldCharType="end"/>
      </w:r>
      <w:r>
        <w:rPr>
          <w:rFonts w:ascii="Times New Roman" w:hAnsi="Times New Roman" w:cs="Times New Roman"/>
        </w:rPr>
        <w:t>。其中，热中子峰位</w:t>
      </w:r>
      <w:r>
        <w:rPr>
          <w:rFonts w:ascii="Times New Roman" w:hAnsi="Times New Roman" w:cs="Times New Roman"/>
        </w:rPr>
        <w:t>(Peak)</w:t>
      </w:r>
      <w:r>
        <w:rPr>
          <w:rFonts w:ascii="Times New Roman" w:hAnsi="Times New Roman" w:cs="Times New Roman"/>
        </w:rPr>
        <w:t>的相对变化为</w:t>
      </w:r>
      <w:r>
        <w:rPr>
          <w:rFonts w:ascii="Times New Roman" w:hAnsi="Times New Roman" w:cs="Times New Roman"/>
        </w:rPr>
        <w:t>1.09%</w:t>
      </w:r>
      <w:r>
        <w:rPr>
          <w:rFonts w:ascii="Times New Roman" w:hAnsi="Times New Roman" w:cs="Times New Roman"/>
        </w:rPr>
        <w:t>，超热中子半峰宽</w:t>
      </w:r>
      <w:r>
        <w:rPr>
          <w:rFonts w:ascii="Times New Roman" w:hAnsi="Times New Roman" w:cs="Times New Roman"/>
        </w:rPr>
        <w:t>(FWHM)</w:t>
      </w:r>
      <w:r>
        <w:rPr>
          <w:rFonts w:ascii="Times New Roman" w:hAnsi="Times New Roman" w:cs="Times New Roman"/>
        </w:rPr>
        <w:t>的相对变化为</w:t>
      </w:r>
      <w:r>
        <w:rPr>
          <w:rFonts w:ascii="Times New Roman" w:hAnsi="Times New Roman" w:cs="Times New Roman"/>
        </w:rPr>
        <w:t>1.86%</w:t>
      </w:r>
      <w:r>
        <w:rPr>
          <w:rFonts w:ascii="Times New Roman" w:hAnsi="Times New Roman" w:cs="Times New Roman"/>
        </w:rPr>
        <w:t>，经中子通量修正和中子寿命修正后的裂变中子计数率</w:t>
      </w:r>
      <w:r>
        <w:rPr>
          <w:rFonts w:ascii="Times New Roman" w:hAnsi="Times New Roman" w:cs="Times New Roman"/>
        </w:rPr>
        <w:t>(Nec)</w:t>
      </w:r>
      <w:r>
        <w:rPr>
          <w:rFonts w:ascii="Times New Roman" w:hAnsi="Times New Roman" w:cs="Times New Roman"/>
        </w:rPr>
        <w:t>的相对变化为</w:t>
      </w:r>
      <w:r>
        <w:rPr>
          <w:rFonts w:ascii="Times New Roman" w:hAnsi="Times New Roman" w:cs="Times New Roman"/>
        </w:rPr>
        <w:t>2.58%</w:t>
      </w:r>
      <w:r>
        <w:rPr>
          <w:rFonts w:ascii="Times New Roman" w:hAnsi="Times New Roman" w:cs="Times New Roman"/>
        </w:rPr>
        <w:t>。</w:t>
      </w:r>
    </w:p>
    <w:p w14:paraId="6A1ED059"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2025</w:t>
      </w:r>
      <w:r>
        <w:rPr>
          <w:rFonts w:ascii="Times New Roman" w:hAnsi="Times New Roman" w:cs="Times New Roman"/>
        </w:rPr>
        <w:t>年</w:t>
      </w:r>
      <w:r>
        <w:rPr>
          <w:rFonts w:ascii="Times New Roman" w:hAnsi="Times New Roman" w:cs="Times New Roman"/>
        </w:rPr>
        <w:t>9</w:t>
      </w:r>
      <w:r>
        <w:rPr>
          <w:rFonts w:ascii="Times New Roman" w:hAnsi="Times New Roman" w:cs="Times New Roman"/>
        </w:rPr>
        <w:t>月</w:t>
      </w:r>
      <w:r>
        <w:rPr>
          <w:rFonts w:ascii="Times New Roman" w:hAnsi="Times New Roman" w:cs="Times New Roman"/>
        </w:rPr>
        <w:t>4</w:t>
      </w:r>
      <w:r>
        <w:rPr>
          <w:rFonts w:ascii="Times New Roman" w:hAnsi="Times New Roman" w:cs="Times New Roman"/>
        </w:rPr>
        <w:t>日，项目组开展的短期稳定性测试结果见</w:t>
      </w:r>
      <w:r>
        <w:rPr>
          <w:rFonts w:ascii="Times New Roman" w:hAnsi="Times New Roman" w:cs="Times New Roman"/>
        </w:rPr>
        <w:fldChar w:fldCharType="begin"/>
      </w:r>
      <w:r>
        <w:rPr>
          <w:rFonts w:ascii="Times New Roman" w:hAnsi="Times New Roman" w:cs="Times New Roman"/>
        </w:rPr>
        <w:instrText xml:space="preserve"> REF _Ref16683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表</w:t>
      </w:r>
      <w:r>
        <w:rPr>
          <w:rFonts w:ascii="Times New Roman" w:hAnsi="Times New Roman" w:cs="Times New Roman"/>
        </w:rPr>
        <w:t>4-2</w:t>
      </w:r>
      <w:r>
        <w:rPr>
          <w:rFonts w:ascii="Times New Roman" w:hAnsi="Times New Roman" w:cs="Times New Roman"/>
        </w:rPr>
        <w:fldChar w:fldCharType="end"/>
      </w:r>
      <w:r>
        <w:rPr>
          <w:rFonts w:ascii="Times New Roman" w:hAnsi="Times New Roman" w:cs="Times New Roman"/>
        </w:rPr>
        <w:t>。其中，热中子峰位</w:t>
      </w:r>
      <w:r>
        <w:rPr>
          <w:rFonts w:ascii="Times New Roman" w:hAnsi="Times New Roman" w:cs="Times New Roman"/>
        </w:rPr>
        <w:t>(Peak)</w:t>
      </w:r>
      <w:r>
        <w:rPr>
          <w:rFonts w:ascii="Times New Roman" w:hAnsi="Times New Roman" w:cs="Times New Roman"/>
        </w:rPr>
        <w:t>的相对变化为</w:t>
      </w:r>
      <w:r>
        <w:rPr>
          <w:rFonts w:ascii="Times New Roman" w:hAnsi="Times New Roman" w:cs="Times New Roman"/>
        </w:rPr>
        <w:t>1.16%</w:t>
      </w:r>
      <w:r>
        <w:rPr>
          <w:rFonts w:ascii="Times New Roman" w:hAnsi="Times New Roman" w:cs="Times New Roman"/>
        </w:rPr>
        <w:t>，超热中子半峰宽</w:t>
      </w:r>
      <w:r>
        <w:rPr>
          <w:rFonts w:ascii="Times New Roman" w:hAnsi="Times New Roman" w:cs="Times New Roman"/>
        </w:rPr>
        <w:t>(FWHM)</w:t>
      </w:r>
      <w:r>
        <w:rPr>
          <w:rFonts w:ascii="Times New Roman" w:hAnsi="Times New Roman" w:cs="Times New Roman"/>
        </w:rPr>
        <w:t>的相对变化为</w:t>
      </w:r>
      <w:r>
        <w:rPr>
          <w:rFonts w:ascii="Times New Roman" w:hAnsi="Times New Roman" w:cs="Times New Roman"/>
        </w:rPr>
        <w:t>0.95%</w:t>
      </w:r>
      <w:r>
        <w:rPr>
          <w:rFonts w:ascii="Times New Roman" w:hAnsi="Times New Roman" w:cs="Times New Roman"/>
        </w:rPr>
        <w:t>，经中子通量修正和中子寿命修正后的裂变中子计数率</w:t>
      </w:r>
      <w:r>
        <w:rPr>
          <w:rFonts w:ascii="Times New Roman" w:hAnsi="Times New Roman" w:cs="Times New Roman"/>
        </w:rPr>
        <w:t>(Nec)</w:t>
      </w:r>
      <w:r>
        <w:rPr>
          <w:rFonts w:ascii="Times New Roman" w:hAnsi="Times New Roman" w:cs="Times New Roman"/>
        </w:rPr>
        <w:t>的相对变化为</w:t>
      </w:r>
      <w:r>
        <w:rPr>
          <w:rFonts w:ascii="Times New Roman" w:hAnsi="Times New Roman" w:cs="Times New Roman"/>
        </w:rPr>
        <w:t>2.61%</w:t>
      </w:r>
      <w:r>
        <w:rPr>
          <w:rFonts w:ascii="Times New Roman" w:hAnsi="Times New Roman" w:cs="Times New Roman"/>
        </w:rPr>
        <w:t>。</w:t>
      </w:r>
    </w:p>
    <w:p w14:paraId="3B2BD05B"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采用</w:t>
      </w:r>
      <w:r>
        <w:rPr>
          <w:rFonts w:ascii="Times New Roman" w:hAnsi="Times New Roman" w:cs="Times New Roman"/>
        </w:rPr>
        <w:t>Nec</w:t>
      </w:r>
      <w:r>
        <w:rPr>
          <w:rFonts w:ascii="Times New Roman" w:hAnsi="Times New Roman" w:cs="Times New Roman"/>
        </w:rPr>
        <w:t>表征中子测井仪的短期稳定性，上述测试结果表明中子测井仪短期稳定性优于</w:t>
      </w:r>
      <w:r>
        <w:rPr>
          <w:rFonts w:ascii="Times New Roman" w:hAnsi="Times New Roman" w:cs="Times New Roman"/>
        </w:rPr>
        <w:t>5%</w:t>
      </w:r>
      <w:r>
        <w:rPr>
          <w:rFonts w:ascii="Times New Roman" w:hAnsi="Times New Roman" w:cs="Times New Roman"/>
        </w:rPr>
        <w:t>的技术要求。</w:t>
      </w:r>
    </w:p>
    <w:p w14:paraId="1AE50DB9" w14:textId="77777777" w:rsidR="00136F89" w:rsidRDefault="0090020D">
      <w:pPr>
        <w:keepNext/>
        <w:spacing w:beforeLines="50" w:before="156" w:line="360" w:lineRule="auto"/>
        <w:jc w:val="center"/>
        <w:rPr>
          <w:rFonts w:ascii="Times New Roman" w:eastAsia="黑体" w:hAnsi="Times New Roman" w:cs="Times New Roman"/>
          <w:kern w:val="0"/>
          <w:sz w:val="21"/>
          <w:szCs w:val="21"/>
        </w:rPr>
      </w:pPr>
      <w:bookmarkStart w:id="4" w:name="_Ref15928"/>
      <w:r>
        <w:rPr>
          <w:rFonts w:ascii="Times New Roman" w:eastAsia="黑体" w:hAnsi="Times New Roman" w:cs="Times New Roman"/>
          <w:kern w:val="0"/>
          <w:sz w:val="21"/>
          <w:szCs w:val="21"/>
        </w:rPr>
        <w:lastRenderedPageBreak/>
        <w:t>表</w:t>
      </w:r>
      <w:r>
        <w:rPr>
          <w:rFonts w:ascii="Times New Roman" w:eastAsia="黑体" w:hAnsi="Times New Roman" w:cs="Times New Roman"/>
          <w:kern w:val="0"/>
          <w:sz w:val="21"/>
          <w:szCs w:val="21"/>
        </w:rPr>
        <w:t>4-</w:t>
      </w:r>
      <w:r>
        <w:rPr>
          <w:rFonts w:ascii="Times New Roman" w:eastAsia="黑体" w:hAnsi="Times New Roman" w:cs="Times New Roman"/>
          <w:kern w:val="0"/>
          <w:sz w:val="21"/>
          <w:szCs w:val="21"/>
        </w:rPr>
        <w:fldChar w:fldCharType="begin"/>
      </w:r>
      <w:r>
        <w:rPr>
          <w:rFonts w:ascii="Times New Roman" w:eastAsia="黑体" w:hAnsi="Times New Roman" w:cs="Times New Roman"/>
          <w:kern w:val="0"/>
          <w:sz w:val="21"/>
          <w:szCs w:val="21"/>
        </w:rPr>
        <w:instrText xml:space="preserve"> SEQ </w:instrText>
      </w:r>
      <w:r>
        <w:rPr>
          <w:rFonts w:ascii="Times New Roman" w:eastAsia="黑体" w:hAnsi="Times New Roman" w:cs="Times New Roman"/>
          <w:kern w:val="0"/>
          <w:sz w:val="21"/>
          <w:szCs w:val="21"/>
        </w:rPr>
        <w:instrText>表</w:instrText>
      </w:r>
      <w:r>
        <w:rPr>
          <w:rFonts w:ascii="Times New Roman" w:eastAsia="黑体" w:hAnsi="Times New Roman" w:cs="Times New Roman"/>
          <w:kern w:val="0"/>
          <w:sz w:val="21"/>
          <w:szCs w:val="21"/>
        </w:rPr>
        <w:instrText xml:space="preserve">4- \* ARABIC </w:instrText>
      </w:r>
      <w:r>
        <w:rPr>
          <w:rFonts w:ascii="Times New Roman" w:eastAsia="黑体" w:hAnsi="Times New Roman" w:cs="Times New Roman"/>
          <w:kern w:val="0"/>
          <w:sz w:val="21"/>
          <w:szCs w:val="21"/>
        </w:rPr>
        <w:fldChar w:fldCharType="separate"/>
      </w:r>
      <w:r>
        <w:rPr>
          <w:rFonts w:ascii="Times New Roman" w:eastAsia="黑体" w:hAnsi="Times New Roman" w:cs="Times New Roman"/>
          <w:kern w:val="0"/>
          <w:sz w:val="21"/>
          <w:szCs w:val="21"/>
        </w:rPr>
        <w:t>1</w:t>
      </w:r>
      <w:r>
        <w:rPr>
          <w:rFonts w:ascii="Times New Roman" w:eastAsia="黑体" w:hAnsi="Times New Roman" w:cs="Times New Roman"/>
          <w:kern w:val="0"/>
          <w:sz w:val="21"/>
          <w:szCs w:val="21"/>
        </w:rPr>
        <w:fldChar w:fldCharType="end"/>
      </w:r>
      <w:bookmarkEnd w:id="4"/>
      <w:r>
        <w:rPr>
          <w:rFonts w:ascii="Times New Roman" w:eastAsia="黑体" w:hAnsi="Times New Roman" w:cs="Times New Roman" w:hint="eastAsia"/>
          <w:kern w:val="0"/>
          <w:sz w:val="21"/>
          <w:szCs w:val="21"/>
        </w:rPr>
        <w:t xml:space="preserve"> </w:t>
      </w:r>
      <w:r>
        <w:rPr>
          <w:rFonts w:ascii="Times New Roman" w:eastAsia="黑体" w:hAnsi="Times New Roman" w:cs="Times New Roman"/>
          <w:kern w:val="0"/>
          <w:sz w:val="21"/>
          <w:szCs w:val="21"/>
        </w:rPr>
        <w:t>中子测井仪短期稳定性测试结果</w:t>
      </w:r>
      <w:r>
        <w:rPr>
          <w:rFonts w:ascii="Times New Roman" w:eastAsia="黑体" w:hAnsi="Times New Roman" w:cs="Times New Roman"/>
          <w:kern w:val="0"/>
          <w:sz w:val="21"/>
          <w:szCs w:val="21"/>
        </w:rPr>
        <w:t>(6</w:t>
      </w:r>
      <w:r>
        <w:rPr>
          <w:rFonts w:ascii="Times New Roman" w:eastAsia="黑体" w:hAnsi="Times New Roman" w:cs="Times New Roman"/>
          <w:kern w:val="0"/>
          <w:sz w:val="21"/>
          <w:szCs w:val="21"/>
        </w:rPr>
        <w:t>月</w:t>
      </w:r>
      <w:r>
        <w:rPr>
          <w:rFonts w:ascii="Times New Roman" w:eastAsia="黑体" w:hAnsi="Times New Roman" w:cs="Times New Roman"/>
          <w:kern w:val="0"/>
          <w:sz w:val="21"/>
          <w:szCs w:val="21"/>
        </w:rPr>
        <w:t>13</w:t>
      </w:r>
      <w:r>
        <w:rPr>
          <w:rFonts w:ascii="Times New Roman" w:eastAsia="黑体" w:hAnsi="Times New Roman" w:cs="Times New Roman"/>
          <w:kern w:val="0"/>
          <w:sz w:val="21"/>
          <w:szCs w:val="21"/>
        </w:rPr>
        <w:t>日</w:t>
      </w:r>
      <w:r>
        <w:rPr>
          <w:rFonts w:ascii="Times New Roman" w:eastAsia="黑体" w:hAnsi="Times New Roman" w:cs="Times New Roman"/>
          <w:kern w:val="0"/>
          <w:sz w:val="21"/>
          <w:szCs w:val="21"/>
        </w:rPr>
        <w:t>)</w:t>
      </w:r>
    </w:p>
    <w:tbl>
      <w:tblPr>
        <w:tblW w:w="5103" w:type="pct"/>
        <w:tblInd w:w="-176" w:type="dxa"/>
        <w:tblLayout w:type="fixed"/>
        <w:tblLook w:val="04A0" w:firstRow="1" w:lastRow="0" w:firstColumn="1" w:lastColumn="0" w:noHBand="0" w:noVBand="1"/>
      </w:tblPr>
      <w:tblGrid>
        <w:gridCol w:w="1065"/>
        <w:gridCol w:w="990"/>
        <w:gridCol w:w="811"/>
        <w:gridCol w:w="1037"/>
        <w:gridCol w:w="945"/>
        <w:gridCol w:w="1127"/>
        <w:gridCol w:w="1052"/>
        <w:gridCol w:w="845"/>
        <w:gridCol w:w="826"/>
      </w:tblGrid>
      <w:tr w:rsidR="00136F89" w:rsidRPr="007A2828" w14:paraId="1198BA51" w14:textId="77777777" w:rsidTr="00E822FF">
        <w:trPr>
          <w:trHeight w:val="283"/>
        </w:trPr>
        <w:tc>
          <w:tcPr>
            <w:tcW w:w="61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04C43CD"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序号</w:t>
            </w:r>
          </w:p>
        </w:tc>
        <w:tc>
          <w:tcPr>
            <w:tcW w:w="569" w:type="pct"/>
            <w:tcBorders>
              <w:top w:val="single" w:sz="4" w:space="0" w:color="auto"/>
              <w:left w:val="nil"/>
              <w:bottom w:val="single" w:sz="4" w:space="0" w:color="auto"/>
              <w:right w:val="single" w:sz="4" w:space="0" w:color="auto"/>
            </w:tcBorders>
            <w:shd w:val="clear" w:color="000000" w:fill="FFFFFF"/>
            <w:noWrap/>
            <w:vAlign w:val="center"/>
          </w:tcPr>
          <w:p w14:paraId="68D20841"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Peak(</w:t>
            </w:r>
            <w:r w:rsidRPr="007A2828">
              <w:rPr>
                <w:rFonts w:ascii="Times New Roman" w:eastAsia="仿宋" w:hAnsi="Times New Roman" w:cs="Times New Roman"/>
                <w:kern w:val="0"/>
                <w:sz w:val="18"/>
                <w:szCs w:val="18"/>
              </w:rPr>
              <w:t>道</w:t>
            </w:r>
            <w:r w:rsidRPr="007A2828">
              <w:rPr>
                <w:rFonts w:ascii="Times New Roman" w:eastAsia="仿宋" w:hAnsi="Times New Roman" w:cs="Times New Roman"/>
                <w:kern w:val="0"/>
                <w:sz w:val="18"/>
                <w:szCs w:val="18"/>
              </w:rPr>
              <w:t>)</w:t>
            </w:r>
          </w:p>
        </w:tc>
        <w:tc>
          <w:tcPr>
            <w:tcW w:w="466" w:type="pct"/>
            <w:tcBorders>
              <w:top w:val="single" w:sz="4" w:space="0" w:color="auto"/>
              <w:left w:val="nil"/>
              <w:bottom w:val="single" w:sz="4" w:space="0" w:color="auto"/>
              <w:right w:val="single" w:sz="4" w:space="0" w:color="auto"/>
            </w:tcBorders>
            <w:shd w:val="clear" w:color="000000" w:fill="FFFFFF"/>
            <w:noWrap/>
            <w:vAlign w:val="center"/>
          </w:tcPr>
          <w:p w14:paraId="5C939E52"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FWHM(</w:t>
            </w:r>
            <w:r w:rsidRPr="007A2828">
              <w:rPr>
                <w:rFonts w:ascii="Times New Roman" w:eastAsia="仿宋" w:hAnsi="Times New Roman" w:cs="Times New Roman"/>
                <w:kern w:val="0"/>
                <w:sz w:val="18"/>
                <w:szCs w:val="18"/>
              </w:rPr>
              <w:t>道</w:t>
            </w:r>
            <w:r w:rsidRPr="007A2828">
              <w:rPr>
                <w:rFonts w:ascii="Times New Roman" w:eastAsia="仿宋" w:hAnsi="Times New Roman" w:cs="Times New Roman"/>
                <w:kern w:val="0"/>
                <w:sz w:val="18"/>
                <w:szCs w:val="18"/>
              </w:rPr>
              <w:t>)</w:t>
            </w:r>
          </w:p>
        </w:tc>
        <w:tc>
          <w:tcPr>
            <w:tcW w:w="596" w:type="pct"/>
            <w:tcBorders>
              <w:top w:val="single" w:sz="4" w:space="0" w:color="auto"/>
              <w:left w:val="nil"/>
              <w:bottom w:val="single" w:sz="4" w:space="0" w:color="auto"/>
              <w:right w:val="single" w:sz="4" w:space="0" w:color="auto"/>
            </w:tcBorders>
            <w:shd w:val="clear" w:color="000000" w:fill="FFFFFF"/>
            <w:noWrap/>
            <w:vAlign w:val="center"/>
          </w:tcPr>
          <w:p w14:paraId="262DA188"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Nt1(s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c>
          <w:tcPr>
            <w:tcW w:w="543" w:type="pct"/>
            <w:tcBorders>
              <w:top w:val="single" w:sz="4" w:space="0" w:color="auto"/>
              <w:left w:val="nil"/>
              <w:bottom w:val="single" w:sz="4" w:space="0" w:color="auto"/>
              <w:right w:val="single" w:sz="4" w:space="0" w:color="auto"/>
            </w:tcBorders>
            <w:shd w:val="clear" w:color="000000" w:fill="FFFFFF"/>
            <w:noWrap/>
            <w:vAlign w:val="center"/>
          </w:tcPr>
          <w:p w14:paraId="3F9AADE8"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Nt2(s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c>
          <w:tcPr>
            <w:tcW w:w="648" w:type="pct"/>
            <w:tcBorders>
              <w:top w:val="single" w:sz="4" w:space="0" w:color="auto"/>
              <w:left w:val="nil"/>
              <w:bottom w:val="single" w:sz="4" w:space="0" w:color="auto"/>
              <w:right w:val="single" w:sz="4" w:space="0" w:color="auto"/>
            </w:tcBorders>
            <w:shd w:val="clear" w:color="000000" w:fill="FFFFFF"/>
            <w:noWrap/>
            <w:vAlign w:val="center"/>
          </w:tcPr>
          <w:p w14:paraId="2C0E6C68" w14:textId="77777777" w:rsidR="00136F89" w:rsidRPr="007A2828" w:rsidRDefault="0090020D">
            <w:pPr>
              <w:snapToGrid w:val="0"/>
              <w:jc w:val="center"/>
              <w:rPr>
                <w:rFonts w:ascii="Times New Roman" w:eastAsia="仿宋" w:hAnsi="Times New Roman" w:cs="Times New Roman"/>
                <w:kern w:val="0"/>
                <w:sz w:val="18"/>
                <w:szCs w:val="18"/>
              </w:rPr>
            </w:pPr>
            <w:proofErr w:type="spellStart"/>
            <w:r w:rsidRPr="007A2828">
              <w:rPr>
                <w:rFonts w:ascii="Times New Roman" w:eastAsia="仿宋" w:hAnsi="Times New Roman" w:cs="Times New Roman"/>
                <w:kern w:val="0"/>
                <w:sz w:val="18"/>
                <w:szCs w:val="18"/>
              </w:rPr>
              <w:t>NtSpan</w:t>
            </w:r>
            <w:proofErr w:type="spellEnd"/>
            <w:r w:rsidRPr="007A2828">
              <w:rPr>
                <w:rFonts w:ascii="Times New Roman" w:eastAsia="仿宋" w:hAnsi="Times New Roman" w:cs="Times New Roman"/>
                <w:kern w:val="0"/>
                <w:sz w:val="18"/>
                <w:szCs w:val="18"/>
              </w:rPr>
              <w:t>(</w:t>
            </w:r>
            <w:proofErr w:type="spellStart"/>
            <w:r w:rsidRPr="007A2828">
              <w:rPr>
                <w:rFonts w:ascii="Times New Roman" w:eastAsia="仿宋" w:hAnsi="Times New Roman" w:cs="Times New Roman"/>
                <w:kern w:val="0"/>
                <w:sz w:val="18"/>
                <w:szCs w:val="18"/>
              </w:rPr>
              <w:t>μs</w:t>
            </w:r>
            <w:proofErr w:type="spellEnd"/>
            <w:r w:rsidRPr="007A2828">
              <w:rPr>
                <w:rFonts w:ascii="Times New Roman" w:eastAsia="仿宋" w:hAnsi="Times New Roman" w:cs="Times New Roman"/>
                <w:kern w:val="0"/>
                <w:sz w:val="18"/>
                <w:szCs w:val="18"/>
              </w:rPr>
              <w:t>)</w:t>
            </w:r>
          </w:p>
        </w:tc>
        <w:tc>
          <w:tcPr>
            <w:tcW w:w="605" w:type="pct"/>
            <w:tcBorders>
              <w:top w:val="single" w:sz="4" w:space="0" w:color="auto"/>
              <w:left w:val="nil"/>
              <w:bottom w:val="single" w:sz="4" w:space="0" w:color="auto"/>
              <w:right w:val="single" w:sz="4" w:space="0" w:color="auto"/>
            </w:tcBorders>
            <w:shd w:val="clear" w:color="000000" w:fill="FFFFFF"/>
            <w:noWrap/>
            <w:vAlign w:val="center"/>
          </w:tcPr>
          <w:p w14:paraId="4061A46D"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Ne1(s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c>
          <w:tcPr>
            <w:tcW w:w="486" w:type="pct"/>
            <w:tcBorders>
              <w:top w:val="single" w:sz="4" w:space="0" w:color="auto"/>
              <w:left w:val="nil"/>
              <w:bottom w:val="single" w:sz="4" w:space="0" w:color="auto"/>
              <w:right w:val="single" w:sz="4" w:space="0" w:color="auto"/>
            </w:tcBorders>
            <w:shd w:val="clear" w:color="000000" w:fill="FFFFFF"/>
            <w:noWrap/>
            <w:vAlign w:val="center"/>
          </w:tcPr>
          <w:p w14:paraId="7CEDD0D8"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Ne2(s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c>
          <w:tcPr>
            <w:tcW w:w="476" w:type="pct"/>
            <w:tcBorders>
              <w:top w:val="single" w:sz="4" w:space="0" w:color="auto"/>
              <w:left w:val="nil"/>
              <w:bottom w:val="single" w:sz="4" w:space="0" w:color="auto"/>
              <w:right w:val="single" w:sz="4" w:space="0" w:color="auto"/>
            </w:tcBorders>
            <w:shd w:val="clear" w:color="000000" w:fill="FFFFFF"/>
            <w:noWrap/>
            <w:vAlign w:val="center"/>
          </w:tcPr>
          <w:p w14:paraId="4A71FA36"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Nec(s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r>
      <w:tr w:rsidR="00136F89" w:rsidRPr="00E822FF" w14:paraId="77CB1CE7"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2B3080F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w:t>
            </w:r>
          </w:p>
        </w:tc>
        <w:tc>
          <w:tcPr>
            <w:tcW w:w="569" w:type="pct"/>
            <w:tcBorders>
              <w:top w:val="nil"/>
              <w:left w:val="nil"/>
              <w:bottom w:val="single" w:sz="4" w:space="0" w:color="auto"/>
              <w:right w:val="single" w:sz="4" w:space="0" w:color="auto"/>
            </w:tcBorders>
            <w:shd w:val="clear" w:color="000000" w:fill="FFFFFF"/>
            <w:noWrap/>
            <w:vAlign w:val="center"/>
          </w:tcPr>
          <w:p w14:paraId="7ECFEE1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74.94</w:t>
            </w:r>
          </w:p>
        </w:tc>
        <w:tc>
          <w:tcPr>
            <w:tcW w:w="466" w:type="pct"/>
            <w:tcBorders>
              <w:top w:val="nil"/>
              <w:left w:val="nil"/>
              <w:bottom w:val="single" w:sz="4" w:space="0" w:color="auto"/>
              <w:right w:val="single" w:sz="4" w:space="0" w:color="auto"/>
            </w:tcBorders>
            <w:shd w:val="clear" w:color="000000" w:fill="FFFFFF"/>
            <w:noWrap/>
            <w:vAlign w:val="center"/>
          </w:tcPr>
          <w:p w14:paraId="09ED3C2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56.02</w:t>
            </w:r>
          </w:p>
        </w:tc>
        <w:tc>
          <w:tcPr>
            <w:tcW w:w="596" w:type="pct"/>
            <w:tcBorders>
              <w:top w:val="nil"/>
              <w:left w:val="nil"/>
              <w:bottom w:val="single" w:sz="4" w:space="0" w:color="auto"/>
              <w:right w:val="single" w:sz="4" w:space="0" w:color="auto"/>
            </w:tcBorders>
            <w:shd w:val="clear" w:color="000000" w:fill="FFFFFF"/>
            <w:noWrap/>
            <w:vAlign w:val="center"/>
          </w:tcPr>
          <w:p w14:paraId="6D29515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2419.3</w:t>
            </w:r>
          </w:p>
        </w:tc>
        <w:tc>
          <w:tcPr>
            <w:tcW w:w="543" w:type="pct"/>
            <w:tcBorders>
              <w:top w:val="nil"/>
              <w:left w:val="nil"/>
              <w:bottom w:val="single" w:sz="4" w:space="0" w:color="auto"/>
              <w:right w:val="single" w:sz="4" w:space="0" w:color="auto"/>
            </w:tcBorders>
            <w:shd w:val="clear" w:color="000000" w:fill="FFFFFF"/>
            <w:noWrap/>
            <w:vAlign w:val="center"/>
          </w:tcPr>
          <w:p w14:paraId="6522B17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4464.0</w:t>
            </w:r>
          </w:p>
        </w:tc>
        <w:tc>
          <w:tcPr>
            <w:tcW w:w="648" w:type="pct"/>
            <w:tcBorders>
              <w:top w:val="nil"/>
              <w:left w:val="nil"/>
              <w:bottom w:val="single" w:sz="4" w:space="0" w:color="auto"/>
              <w:right w:val="single" w:sz="4" w:space="0" w:color="auto"/>
            </w:tcBorders>
            <w:shd w:val="clear" w:color="000000" w:fill="FFFFFF"/>
            <w:noWrap/>
            <w:vAlign w:val="center"/>
          </w:tcPr>
          <w:p w14:paraId="7EFF6FC1"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1332.3</w:t>
            </w:r>
          </w:p>
        </w:tc>
        <w:tc>
          <w:tcPr>
            <w:tcW w:w="605" w:type="pct"/>
            <w:tcBorders>
              <w:top w:val="nil"/>
              <w:left w:val="nil"/>
              <w:bottom w:val="single" w:sz="4" w:space="0" w:color="auto"/>
              <w:right w:val="single" w:sz="4" w:space="0" w:color="auto"/>
            </w:tcBorders>
            <w:shd w:val="clear" w:color="000000" w:fill="FFFFFF"/>
            <w:noWrap/>
            <w:vAlign w:val="center"/>
          </w:tcPr>
          <w:p w14:paraId="286F488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45198.3</w:t>
            </w:r>
          </w:p>
        </w:tc>
        <w:tc>
          <w:tcPr>
            <w:tcW w:w="486" w:type="pct"/>
            <w:tcBorders>
              <w:top w:val="nil"/>
              <w:left w:val="nil"/>
              <w:bottom w:val="single" w:sz="4" w:space="0" w:color="auto"/>
              <w:right w:val="single" w:sz="4" w:space="0" w:color="auto"/>
            </w:tcBorders>
            <w:shd w:val="clear" w:color="000000" w:fill="FFFFFF"/>
            <w:noWrap/>
            <w:vAlign w:val="center"/>
          </w:tcPr>
          <w:p w14:paraId="503E685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38.9</w:t>
            </w:r>
          </w:p>
        </w:tc>
        <w:tc>
          <w:tcPr>
            <w:tcW w:w="476" w:type="pct"/>
            <w:tcBorders>
              <w:top w:val="nil"/>
              <w:left w:val="nil"/>
              <w:bottom w:val="single" w:sz="4" w:space="0" w:color="auto"/>
              <w:right w:val="single" w:sz="4" w:space="0" w:color="auto"/>
            </w:tcBorders>
            <w:shd w:val="clear" w:color="000000" w:fill="FFFFFF"/>
            <w:noWrap/>
            <w:vAlign w:val="center"/>
          </w:tcPr>
          <w:p w14:paraId="0535B0C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38.86</w:t>
            </w:r>
          </w:p>
        </w:tc>
      </w:tr>
      <w:tr w:rsidR="00136F89" w:rsidRPr="00E822FF" w14:paraId="3C47A5FB"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4620B19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w:t>
            </w:r>
          </w:p>
        </w:tc>
        <w:tc>
          <w:tcPr>
            <w:tcW w:w="569" w:type="pct"/>
            <w:tcBorders>
              <w:top w:val="nil"/>
              <w:left w:val="nil"/>
              <w:bottom w:val="single" w:sz="4" w:space="0" w:color="auto"/>
              <w:right w:val="single" w:sz="4" w:space="0" w:color="auto"/>
            </w:tcBorders>
            <w:shd w:val="clear" w:color="000000" w:fill="FFFFFF"/>
            <w:noWrap/>
            <w:vAlign w:val="center"/>
          </w:tcPr>
          <w:p w14:paraId="6F4AE33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75.63</w:t>
            </w:r>
          </w:p>
        </w:tc>
        <w:tc>
          <w:tcPr>
            <w:tcW w:w="466" w:type="pct"/>
            <w:tcBorders>
              <w:top w:val="nil"/>
              <w:left w:val="nil"/>
              <w:bottom w:val="single" w:sz="4" w:space="0" w:color="auto"/>
              <w:right w:val="single" w:sz="4" w:space="0" w:color="auto"/>
            </w:tcBorders>
            <w:shd w:val="clear" w:color="000000" w:fill="FFFFFF"/>
            <w:noWrap/>
            <w:vAlign w:val="center"/>
          </w:tcPr>
          <w:p w14:paraId="26FBDFF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55.84</w:t>
            </w:r>
          </w:p>
        </w:tc>
        <w:tc>
          <w:tcPr>
            <w:tcW w:w="596" w:type="pct"/>
            <w:tcBorders>
              <w:top w:val="nil"/>
              <w:left w:val="nil"/>
              <w:bottom w:val="single" w:sz="4" w:space="0" w:color="auto"/>
              <w:right w:val="single" w:sz="4" w:space="0" w:color="auto"/>
            </w:tcBorders>
            <w:shd w:val="clear" w:color="000000" w:fill="FFFFFF"/>
            <w:noWrap/>
            <w:vAlign w:val="center"/>
          </w:tcPr>
          <w:p w14:paraId="27CBF40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2377.0</w:t>
            </w:r>
          </w:p>
        </w:tc>
        <w:tc>
          <w:tcPr>
            <w:tcW w:w="543" w:type="pct"/>
            <w:tcBorders>
              <w:top w:val="nil"/>
              <w:left w:val="nil"/>
              <w:bottom w:val="single" w:sz="4" w:space="0" w:color="auto"/>
              <w:right w:val="single" w:sz="4" w:space="0" w:color="auto"/>
            </w:tcBorders>
            <w:shd w:val="clear" w:color="000000" w:fill="FFFFFF"/>
            <w:noWrap/>
            <w:vAlign w:val="center"/>
          </w:tcPr>
          <w:p w14:paraId="565E711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4425.5</w:t>
            </w:r>
          </w:p>
        </w:tc>
        <w:tc>
          <w:tcPr>
            <w:tcW w:w="648" w:type="pct"/>
            <w:tcBorders>
              <w:top w:val="nil"/>
              <w:left w:val="nil"/>
              <w:bottom w:val="single" w:sz="4" w:space="0" w:color="auto"/>
              <w:right w:val="single" w:sz="4" w:space="0" w:color="auto"/>
            </w:tcBorders>
            <w:shd w:val="clear" w:color="000000" w:fill="FFFFFF"/>
            <w:noWrap/>
            <w:vAlign w:val="center"/>
          </w:tcPr>
          <w:p w14:paraId="0025351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1329.8</w:t>
            </w:r>
          </w:p>
        </w:tc>
        <w:tc>
          <w:tcPr>
            <w:tcW w:w="605" w:type="pct"/>
            <w:tcBorders>
              <w:top w:val="nil"/>
              <w:left w:val="nil"/>
              <w:bottom w:val="single" w:sz="4" w:space="0" w:color="auto"/>
              <w:right w:val="single" w:sz="4" w:space="0" w:color="auto"/>
            </w:tcBorders>
            <w:shd w:val="clear" w:color="000000" w:fill="FFFFFF"/>
            <w:noWrap/>
            <w:vAlign w:val="center"/>
          </w:tcPr>
          <w:p w14:paraId="2E72232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44646.6</w:t>
            </w:r>
          </w:p>
        </w:tc>
        <w:tc>
          <w:tcPr>
            <w:tcW w:w="486" w:type="pct"/>
            <w:tcBorders>
              <w:top w:val="nil"/>
              <w:left w:val="nil"/>
              <w:bottom w:val="single" w:sz="4" w:space="0" w:color="auto"/>
              <w:right w:val="single" w:sz="4" w:space="0" w:color="auto"/>
            </w:tcBorders>
            <w:shd w:val="clear" w:color="000000" w:fill="FFFFFF"/>
            <w:noWrap/>
            <w:vAlign w:val="center"/>
          </w:tcPr>
          <w:p w14:paraId="6BBC1FD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38.1</w:t>
            </w:r>
          </w:p>
        </w:tc>
        <w:tc>
          <w:tcPr>
            <w:tcW w:w="476" w:type="pct"/>
            <w:tcBorders>
              <w:top w:val="nil"/>
              <w:left w:val="nil"/>
              <w:bottom w:val="single" w:sz="4" w:space="0" w:color="auto"/>
              <w:right w:val="single" w:sz="4" w:space="0" w:color="auto"/>
            </w:tcBorders>
            <w:shd w:val="clear" w:color="000000" w:fill="FFFFFF"/>
            <w:noWrap/>
            <w:vAlign w:val="center"/>
          </w:tcPr>
          <w:p w14:paraId="2B1E163B"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38.69</w:t>
            </w:r>
          </w:p>
        </w:tc>
      </w:tr>
      <w:tr w:rsidR="00136F89" w:rsidRPr="00E822FF" w14:paraId="401A83F0"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23B7722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w:t>
            </w:r>
          </w:p>
        </w:tc>
        <w:tc>
          <w:tcPr>
            <w:tcW w:w="569" w:type="pct"/>
            <w:tcBorders>
              <w:top w:val="nil"/>
              <w:left w:val="nil"/>
              <w:bottom w:val="single" w:sz="4" w:space="0" w:color="auto"/>
              <w:right w:val="single" w:sz="4" w:space="0" w:color="auto"/>
            </w:tcBorders>
            <w:shd w:val="clear" w:color="000000" w:fill="FFFFFF"/>
            <w:noWrap/>
            <w:vAlign w:val="center"/>
          </w:tcPr>
          <w:p w14:paraId="4FA28E6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75.07</w:t>
            </w:r>
          </w:p>
        </w:tc>
        <w:tc>
          <w:tcPr>
            <w:tcW w:w="466" w:type="pct"/>
            <w:tcBorders>
              <w:top w:val="nil"/>
              <w:left w:val="nil"/>
              <w:bottom w:val="single" w:sz="4" w:space="0" w:color="auto"/>
              <w:right w:val="single" w:sz="4" w:space="0" w:color="auto"/>
            </w:tcBorders>
            <w:shd w:val="clear" w:color="000000" w:fill="FFFFFF"/>
            <w:noWrap/>
            <w:vAlign w:val="center"/>
          </w:tcPr>
          <w:p w14:paraId="2A3D7ED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55.46</w:t>
            </w:r>
          </w:p>
        </w:tc>
        <w:tc>
          <w:tcPr>
            <w:tcW w:w="596" w:type="pct"/>
            <w:tcBorders>
              <w:top w:val="nil"/>
              <w:left w:val="nil"/>
              <w:bottom w:val="single" w:sz="4" w:space="0" w:color="auto"/>
              <w:right w:val="single" w:sz="4" w:space="0" w:color="auto"/>
            </w:tcBorders>
            <w:shd w:val="clear" w:color="000000" w:fill="FFFFFF"/>
            <w:noWrap/>
            <w:vAlign w:val="center"/>
          </w:tcPr>
          <w:p w14:paraId="14373F1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2293.9</w:t>
            </w:r>
          </w:p>
        </w:tc>
        <w:tc>
          <w:tcPr>
            <w:tcW w:w="543" w:type="pct"/>
            <w:tcBorders>
              <w:top w:val="nil"/>
              <w:left w:val="nil"/>
              <w:bottom w:val="single" w:sz="4" w:space="0" w:color="auto"/>
              <w:right w:val="single" w:sz="4" w:space="0" w:color="auto"/>
            </w:tcBorders>
            <w:shd w:val="clear" w:color="000000" w:fill="FFFFFF"/>
            <w:noWrap/>
            <w:vAlign w:val="center"/>
          </w:tcPr>
          <w:p w14:paraId="267C386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4292.5</w:t>
            </w:r>
          </w:p>
        </w:tc>
        <w:tc>
          <w:tcPr>
            <w:tcW w:w="648" w:type="pct"/>
            <w:tcBorders>
              <w:top w:val="nil"/>
              <w:left w:val="nil"/>
              <w:bottom w:val="single" w:sz="4" w:space="0" w:color="auto"/>
              <w:right w:val="single" w:sz="4" w:space="0" w:color="auto"/>
            </w:tcBorders>
            <w:shd w:val="clear" w:color="000000" w:fill="FFFFFF"/>
            <w:noWrap/>
            <w:vAlign w:val="center"/>
          </w:tcPr>
          <w:p w14:paraId="068CF2E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1321.9</w:t>
            </w:r>
          </w:p>
        </w:tc>
        <w:tc>
          <w:tcPr>
            <w:tcW w:w="605" w:type="pct"/>
            <w:tcBorders>
              <w:top w:val="nil"/>
              <w:left w:val="nil"/>
              <w:bottom w:val="single" w:sz="4" w:space="0" w:color="auto"/>
              <w:right w:val="single" w:sz="4" w:space="0" w:color="auto"/>
            </w:tcBorders>
            <w:shd w:val="clear" w:color="000000" w:fill="FFFFFF"/>
            <w:noWrap/>
            <w:vAlign w:val="center"/>
          </w:tcPr>
          <w:p w14:paraId="685065A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43504.0</w:t>
            </w:r>
          </w:p>
        </w:tc>
        <w:tc>
          <w:tcPr>
            <w:tcW w:w="486" w:type="pct"/>
            <w:tcBorders>
              <w:top w:val="nil"/>
              <w:left w:val="nil"/>
              <w:bottom w:val="single" w:sz="4" w:space="0" w:color="auto"/>
              <w:right w:val="single" w:sz="4" w:space="0" w:color="auto"/>
            </w:tcBorders>
            <w:shd w:val="clear" w:color="000000" w:fill="FFFFFF"/>
            <w:noWrap/>
            <w:vAlign w:val="center"/>
          </w:tcPr>
          <w:p w14:paraId="6F59C08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37.5</w:t>
            </w:r>
          </w:p>
        </w:tc>
        <w:tc>
          <w:tcPr>
            <w:tcW w:w="476" w:type="pct"/>
            <w:tcBorders>
              <w:top w:val="nil"/>
              <w:left w:val="nil"/>
              <w:bottom w:val="single" w:sz="4" w:space="0" w:color="auto"/>
              <w:right w:val="single" w:sz="4" w:space="0" w:color="auto"/>
            </w:tcBorders>
            <w:shd w:val="clear" w:color="000000" w:fill="FFFFFF"/>
            <w:noWrap/>
            <w:vAlign w:val="center"/>
          </w:tcPr>
          <w:p w14:paraId="613B6EE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39.30</w:t>
            </w:r>
          </w:p>
        </w:tc>
      </w:tr>
      <w:tr w:rsidR="00136F89" w:rsidRPr="00E822FF" w14:paraId="6A386AB0"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544456D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w:t>
            </w:r>
          </w:p>
        </w:tc>
        <w:tc>
          <w:tcPr>
            <w:tcW w:w="569" w:type="pct"/>
            <w:tcBorders>
              <w:top w:val="nil"/>
              <w:left w:val="nil"/>
              <w:bottom w:val="single" w:sz="4" w:space="0" w:color="auto"/>
              <w:right w:val="single" w:sz="4" w:space="0" w:color="auto"/>
            </w:tcBorders>
            <w:shd w:val="clear" w:color="000000" w:fill="FFFFFF"/>
            <w:noWrap/>
            <w:vAlign w:val="center"/>
          </w:tcPr>
          <w:p w14:paraId="5CC563D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74.82</w:t>
            </w:r>
          </w:p>
        </w:tc>
        <w:tc>
          <w:tcPr>
            <w:tcW w:w="466" w:type="pct"/>
            <w:tcBorders>
              <w:top w:val="nil"/>
              <w:left w:val="nil"/>
              <w:bottom w:val="single" w:sz="4" w:space="0" w:color="auto"/>
              <w:right w:val="single" w:sz="4" w:space="0" w:color="auto"/>
            </w:tcBorders>
            <w:shd w:val="clear" w:color="000000" w:fill="FFFFFF"/>
            <w:noWrap/>
            <w:vAlign w:val="center"/>
          </w:tcPr>
          <w:p w14:paraId="1B93AC6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55.71</w:t>
            </w:r>
          </w:p>
        </w:tc>
        <w:tc>
          <w:tcPr>
            <w:tcW w:w="596" w:type="pct"/>
            <w:tcBorders>
              <w:top w:val="nil"/>
              <w:left w:val="nil"/>
              <w:bottom w:val="single" w:sz="4" w:space="0" w:color="auto"/>
              <w:right w:val="single" w:sz="4" w:space="0" w:color="auto"/>
            </w:tcBorders>
            <w:shd w:val="clear" w:color="000000" w:fill="FFFFFF"/>
            <w:noWrap/>
            <w:vAlign w:val="center"/>
          </w:tcPr>
          <w:p w14:paraId="0B49FD4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2441.3</w:t>
            </w:r>
          </w:p>
        </w:tc>
        <w:tc>
          <w:tcPr>
            <w:tcW w:w="543" w:type="pct"/>
            <w:tcBorders>
              <w:top w:val="nil"/>
              <w:left w:val="nil"/>
              <w:bottom w:val="single" w:sz="4" w:space="0" w:color="auto"/>
              <w:right w:val="single" w:sz="4" w:space="0" w:color="auto"/>
            </w:tcBorders>
            <w:shd w:val="clear" w:color="000000" w:fill="FFFFFF"/>
            <w:noWrap/>
            <w:vAlign w:val="center"/>
          </w:tcPr>
          <w:p w14:paraId="308765E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4373.4</w:t>
            </w:r>
          </w:p>
        </w:tc>
        <w:tc>
          <w:tcPr>
            <w:tcW w:w="648" w:type="pct"/>
            <w:tcBorders>
              <w:top w:val="nil"/>
              <w:left w:val="nil"/>
              <w:bottom w:val="single" w:sz="4" w:space="0" w:color="auto"/>
              <w:right w:val="single" w:sz="4" w:space="0" w:color="auto"/>
            </w:tcBorders>
            <w:shd w:val="clear" w:color="000000" w:fill="FFFFFF"/>
            <w:noWrap/>
            <w:vAlign w:val="center"/>
          </w:tcPr>
          <w:p w14:paraId="555D8DE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1328.6</w:t>
            </w:r>
          </w:p>
        </w:tc>
        <w:tc>
          <w:tcPr>
            <w:tcW w:w="605" w:type="pct"/>
            <w:tcBorders>
              <w:top w:val="nil"/>
              <w:left w:val="nil"/>
              <w:bottom w:val="single" w:sz="4" w:space="0" w:color="auto"/>
              <w:right w:val="single" w:sz="4" w:space="0" w:color="auto"/>
            </w:tcBorders>
            <w:shd w:val="clear" w:color="000000" w:fill="FFFFFF"/>
            <w:noWrap/>
            <w:vAlign w:val="center"/>
          </w:tcPr>
          <w:p w14:paraId="0119FD9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44982.8</w:t>
            </w:r>
          </w:p>
        </w:tc>
        <w:tc>
          <w:tcPr>
            <w:tcW w:w="486" w:type="pct"/>
            <w:tcBorders>
              <w:top w:val="nil"/>
              <w:left w:val="nil"/>
              <w:bottom w:val="single" w:sz="4" w:space="0" w:color="auto"/>
              <w:right w:val="single" w:sz="4" w:space="0" w:color="auto"/>
            </w:tcBorders>
            <w:shd w:val="clear" w:color="000000" w:fill="FFFFFF"/>
            <w:noWrap/>
            <w:vAlign w:val="center"/>
          </w:tcPr>
          <w:p w14:paraId="5D212F9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37.4</w:t>
            </w:r>
          </w:p>
        </w:tc>
        <w:tc>
          <w:tcPr>
            <w:tcW w:w="476" w:type="pct"/>
            <w:tcBorders>
              <w:top w:val="nil"/>
              <w:left w:val="nil"/>
              <w:bottom w:val="single" w:sz="4" w:space="0" w:color="auto"/>
              <w:right w:val="single" w:sz="4" w:space="0" w:color="auto"/>
            </w:tcBorders>
            <w:shd w:val="clear" w:color="000000" w:fill="FFFFFF"/>
            <w:noWrap/>
            <w:vAlign w:val="center"/>
          </w:tcPr>
          <w:p w14:paraId="5D2B892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37.66</w:t>
            </w:r>
          </w:p>
        </w:tc>
      </w:tr>
      <w:tr w:rsidR="00136F89" w:rsidRPr="00E822FF" w14:paraId="332CB5D2"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1161C88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w:t>
            </w:r>
          </w:p>
        </w:tc>
        <w:tc>
          <w:tcPr>
            <w:tcW w:w="569" w:type="pct"/>
            <w:tcBorders>
              <w:top w:val="nil"/>
              <w:left w:val="nil"/>
              <w:bottom w:val="single" w:sz="4" w:space="0" w:color="auto"/>
              <w:right w:val="single" w:sz="4" w:space="0" w:color="auto"/>
            </w:tcBorders>
            <w:shd w:val="clear" w:color="000000" w:fill="FFFFFF"/>
            <w:noWrap/>
            <w:vAlign w:val="center"/>
          </w:tcPr>
          <w:p w14:paraId="6F563CF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74.77</w:t>
            </w:r>
          </w:p>
        </w:tc>
        <w:tc>
          <w:tcPr>
            <w:tcW w:w="466" w:type="pct"/>
            <w:tcBorders>
              <w:top w:val="nil"/>
              <w:left w:val="nil"/>
              <w:bottom w:val="single" w:sz="4" w:space="0" w:color="auto"/>
              <w:right w:val="single" w:sz="4" w:space="0" w:color="auto"/>
            </w:tcBorders>
            <w:shd w:val="clear" w:color="000000" w:fill="FFFFFF"/>
            <w:noWrap/>
            <w:vAlign w:val="center"/>
          </w:tcPr>
          <w:p w14:paraId="5A6E388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56.14</w:t>
            </w:r>
          </w:p>
        </w:tc>
        <w:tc>
          <w:tcPr>
            <w:tcW w:w="596" w:type="pct"/>
            <w:tcBorders>
              <w:top w:val="nil"/>
              <w:left w:val="nil"/>
              <w:bottom w:val="single" w:sz="4" w:space="0" w:color="auto"/>
              <w:right w:val="single" w:sz="4" w:space="0" w:color="auto"/>
            </w:tcBorders>
            <w:shd w:val="clear" w:color="000000" w:fill="FFFFFF"/>
            <w:noWrap/>
            <w:vAlign w:val="center"/>
          </w:tcPr>
          <w:p w14:paraId="517BA10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2541.3</w:t>
            </w:r>
          </w:p>
        </w:tc>
        <w:tc>
          <w:tcPr>
            <w:tcW w:w="543" w:type="pct"/>
            <w:tcBorders>
              <w:top w:val="nil"/>
              <w:left w:val="nil"/>
              <w:bottom w:val="single" w:sz="4" w:space="0" w:color="auto"/>
              <w:right w:val="single" w:sz="4" w:space="0" w:color="auto"/>
            </w:tcBorders>
            <w:shd w:val="clear" w:color="000000" w:fill="FFFFFF"/>
            <w:noWrap/>
            <w:vAlign w:val="center"/>
          </w:tcPr>
          <w:p w14:paraId="0EDD91C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4518.4</w:t>
            </w:r>
          </w:p>
        </w:tc>
        <w:tc>
          <w:tcPr>
            <w:tcW w:w="648" w:type="pct"/>
            <w:tcBorders>
              <w:top w:val="nil"/>
              <w:left w:val="nil"/>
              <w:bottom w:val="single" w:sz="4" w:space="0" w:color="auto"/>
              <w:right w:val="single" w:sz="4" w:space="0" w:color="auto"/>
            </w:tcBorders>
            <w:shd w:val="clear" w:color="000000" w:fill="FFFFFF"/>
            <w:noWrap/>
            <w:vAlign w:val="center"/>
          </w:tcPr>
          <w:p w14:paraId="652DC83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1339.1</w:t>
            </w:r>
          </w:p>
        </w:tc>
        <w:tc>
          <w:tcPr>
            <w:tcW w:w="605" w:type="pct"/>
            <w:tcBorders>
              <w:top w:val="nil"/>
              <w:left w:val="nil"/>
              <w:bottom w:val="single" w:sz="4" w:space="0" w:color="auto"/>
              <w:right w:val="single" w:sz="4" w:space="0" w:color="auto"/>
            </w:tcBorders>
            <w:shd w:val="clear" w:color="000000" w:fill="FFFFFF"/>
            <w:noWrap/>
            <w:vAlign w:val="center"/>
          </w:tcPr>
          <w:p w14:paraId="2866F92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46275.4</w:t>
            </w:r>
          </w:p>
        </w:tc>
        <w:tc>
          <w:tcPr>
            <w:tcW w:w="486" w:type="pct"/>
            <w:tcBorders>
              <w:top w:val="nil"/>
              <w:left w:val="nil"/>
              <w:bottom w:val="single" w:sz="4" w:space="0" w:color="auto"/>
              <w:right w:val="single" w:sz="4" w:space="0" w:color="auto"/>
            </w:tcBorders>
            <w:shd w:val="clear" w:color="000000" w:fill="FFFFFF"/>
            <w:noWrap/>
            <w:vAlign w:val="center"/>
          </w:tcPr>
          <w:p w14:paraId="1170AA0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39.6</w:t>
            </w:r>
          </w:p>
        </w:tc>
        <w:tc>
          <w:tcPr>
            <w:tcW w:w="476" w:type="pct"/>
            <w:tcBorders>
              <w:top w:val="nil"/>
              <w:left w:val="nil"/>
              <w:bottom w:val="single" w:sz="4" w:space="0" w:color="auto"/>
              <w:right w:val="single" w:sz="4" w:space="0" w:color="auto"/>
            </w:tcBorders>
            <w:shd w:val="clear" w:color="000000" w:fill="FFFFFF"/>
            <w:noWrap/>
            <w:vAlign w:val="center"/>
          </w:tcPr>
          <w:p w14:paraId="2A37A11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38.42</w:t>
            </w:r>
          </w:p>
        </w:tc>
      </w:tr>
      <w:tr w:rsidR="00136F89" w:rsidRPr="00E822FF" w14:paraId="2241F9D6"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5547FC6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6</w:t>
            </w:r>
          </w:p>
        </w:tc>
        <w:tc>
          <w:tcPr>
            <w:tcW w:w="569" w:type="pct"/>
            <w:tcBorders>
              <w:top w:val="nil"/>
              <w:left w:val="nil"/>
              <w:bottom w:val="single" w:sz="4" w:space="0" w:color="auto"/>
              <w:right w:val="single" w:sz="4" w:space="0" w:color="auto"/>
            </w:tcBorders>
            <w:shd w:val="clear" w:color="000000" w:fill="FFFFFF"/>
            <w:noWrap/>
            <w:vAlign w:val="center"/>
          </w:tcPr>
          <w:p w14:paraId="45ABB1D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74.07</w:t>
            </w:r>
          </w:p>
        </w:tc>
        <w:tc>
          <w:tcPr>
            <w:tcW w:w="466" w:type="pct"/>
            <w:tcBorders>
              <w:top w:val="nil"/>
              <w:left w:val="nil"/>
              <w:bottom w:val="single" w:sz="4" w:space="0" w:color="auto"/>
              <w:right w:val="single" w:sz="4" w:space="0" w:color="auto"/>
            </w:tcBorders>
            <w:shd w:val="clear" w:color="000000" w:fill="FFFFFF"/>
            <w:noWrap/>
            <w:vAlign w:val="center"/>
          </w:tcPr>
          <w:p w14:paraId="66D299E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56.09</w:t>
            </w:r>
          </w:p>
        </w:tc>
        <w:tc>
          <w:tcPr>
            <w:tcW w:w="596" w:type="pct"/>
            <w:tcBorders>
              <w:top w:val="nil"/>
              <w:left w:val="nil"/>
              <w:bottom w:val="single" w:sz="4" w:space="0" w:color="auto"/>
              <w:right w:val="single" w:sz="4" w:space="0" w:color="auto"/>
            </w:tcBorders>
            <w:shd w:val="clear" w:color="000000" w:fill="FFFFFF"/>
            <w:noWrap/>
            <w:vAlign w:val="center"/>
          </w:tcPr>
          <w:p w14:paraId="386775C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2525.0</w:t>
            </w:r>
          </w:p>
        </w:tc>
        <w:tc>
          <w:tcPr>
            <w:tcW w:w="543" w:type="pct"/>
            <w:tcBorders>
              <w:top w:val="nil"/>
              <w:left w:val="nil"/>
              <w:bottom w:val="single" w:sz="4" w:space="0" w:color="auto"/>
              <w:right w:val="single" w:sz="4" w:space="0" w:color="auto"/>
            </w:tcBorders>
            <w:shd w:val="clear" w:color="000000" w:fill="FFFFFF"/>
            <w:noWrap/>
            <w:vAlign w:val="center"/>
          </w:tcPr>
          <w:p w14:paraId="741F4AD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4493.3</w:t>
            </w:r>
          </w:p>
        </w:tc>
        <w:tc>
          <w:tcPr>
            <w:tcW w:w="648" w:type="pct"/>
            <w:tcBorders>
              <w:top w:val="nil"/>
              <w:left w:val="nil"/>
              <w:bottom w:val="single" w:sz="4" w:space="0" w:color="auto"/>
              <w:right w:val="single" w:sz="4" w:space="0" w:color="auto"/>
            </w:tcBorders>
            <w:shd w:val="clear" w:color="000000" w:fill="FFFFFF"/>
            <w:noWrap/>
            <w:vAlign w:val="center"/>
          </w:tcPr>
          <w:p w14:paraId="6F86B5E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1337.2</w:t>
            </w:r>
          </w:p>
        </w:tc>
        <w:tc>
          <w:tcPr>
            <w:tcW w:w="605" w:type="pct"/>
            <w:tcBorders>
              <w:top w:val="nil"/>
              <w:left w:val="nil"/>
              <w:bottom w:val="single" w:sz="4" w:space="0" w:color="auto"/>
              <w:right w:val="single" w:sz="4" w:space="0" w:color="auto"/>
            </w:tcBorders>
            <w:shd w:val="clear" w:color="000000" w:fill="FFFFFF"/>
            <w:noWrap/>
            <w:vAlign w:val="center"/>
          </w:tcPr>
          <w:p w14:paraId="1DFD47B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46084.2</w:t>
            </w:r>
          </w:p>
        </w:tc>
        <w:tc>
          <w:tcPr>
            <w:tcW w:w="486" w:type="pct"/>
            <w:tcBorders>
              <w:top w:val="nil"/>
              <w:left w:val="nil"/>
              <w:bottom w:val="single" w:sz="4" w:space="0" w:color="auto"/>
              <w:right w:val="single" w:sz="4" w:space="0" w:color="auto"/>
            </w:tcBorders>
            <w:shd w:val="clear" w:color="000000" w:fill="FFFFFF"/>
            <w:noWrap/>
            <w:vAlign w:val="center"/>
          </w:tcPr>
          <w:p w14:paraId="18B6225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38.8</w:t>
            </w:r>
          </w:p>
        </w:tc>
        <w:tc>
          <w:tcPr>
            <w:tcW w:w="476" w:type="pct"/>
            <w:tcBorders>
              <w:top w:val="nil"/>
              <w:left w:val="nil"/>
              <w:bottom w:val="single" w:sz="4" w:space="0" w:color="auto"/>
              <w:right w:val="single" w:sz="4" w:space="0" w:color="auto"/>
            </w:tcBorders>
            <w:shd w:val="clear" w:color="000000" w:fill="FFFFFF"/>
            <w:noWrap/>
            <w:vAlign w:val="center"/>
          </w:tcPr>
          <w:p w14:paraId="1E50F13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37.88</w:t>
            </w:r>
          </w:p>
        </w:tc>
      </w:tr>
      <w:tr w:rsidR="00136F89" w:rsidRPr="00E822FF" w14:paraId="7EE61986"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581A451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w:t>
            </w:r>
          </w:p>
        </w:tc>
        <w:tc>
          <w:tcPr>
            <w:tcW w:w="569" w:type="pct"/>
            <w:tcBorders>
              <w:top w:val="nil"/>
              <w:left w:val="nil"/>
              <w:bottom w:val="single" w:sz="4" w:space="0" w:color="auto"/>
              <w:right w:val="single" w:sz="4" w:space="0" w:color="auto"/>
            </w:tcBorders>
            <w:shd w:val="clear" w:color="000000" w:fill="FFFFFF"/>
            <w:noWrap/>
            <w:vAlign w:val="center"/>
          </w:tcPr>
          <w:p w14:paraId="02D9154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74.92</w:t>
            </w:r>
          </w:p>
        </w:tc>
        <w:tc>
          <w:tcPr>
            <w:tcW w:w="466" w:type="pct"/>
            <w:tcBorders>
              <w:top w:val="nil"/>
              <w:left w:val="nil"/>
              <w:bottom w:val="single" w:sz="4" w:space="0" w:color="auto"/>
              <w:right w:val="single" w:sz="4" w:space="0" w:color="auto"/>
            </w:tcBorders>
            <w:shd w:val="clear" w:color="000000" w:fill="FFFFFF"/>
            <w:noWrap/>
            <w:vAlign w:val="center"/>
          </w:tcPr>
          <w:p w14:paraId="5D1194F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56.69</w:t>
            </w:r>
          </w:p>
        </w:tc>
        <w:tc>
          <w:tcPr>
            <w:tcW w:w="596" w:type="pct"/>
            <w:tcBorders>
              <w:top w:val="nil"/>
              <w:left w:val="nil"/>
              <w:bottom w:val="single" w:sz="4" w:space="0" w:color="auto"/>
              <w:right w:val="single" w:sz="4" w:space="0" w:color="auto"/>
            </w:tcBorders>
            <w:shd w:val="clear" w:color="000000" w:fill="FFFFFF"/>
            <w:noWrap/>
            <w:vAlign w:val="center"/>
          </w:tcPr>
          <w:p w14:paraId="068D8C1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2604.1</w:t>
            </w:r>
          </w:p>
        </w:tc>
        <w:tc>
          <w:tcPr>
            <w:tcW w:w="543" w:type="pct"/>
            <w:tcBorders>
              <w:top w:val="nil"/>
              <w:left w:val="nil"/>
              <w:bottom w:val="single" w:sz="4" w:space="0" w:color="auto"/>
              <w:right w:val="single" w:sz="4" w:space="0" w:color="auto"/>
            </w:tcBorders>
            <w:shd w:val="clear" w:color="000000" w:fill="FFFFFF"/>
            <w:noWrap/>
            <w:vAlign w:val="center"/>
          </w:tcPr>
          <w:p w14:paraId="7F4471E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4732.9</w:t>
            </w:r>
          </w:p>
        </w:tc>
        <w:tc>
          <w:tcPr>
            <w:tcW w:w="648" w:type="pct"/>
            <w:tcBorders>
              <w:top w:val="nil"/>
              <w:left w:val="nil"/>
              <w:bottom w:val="single" w:sz="4" w:space="0" w:color="auto"/>
              <w:right w:val="single" w:sz="4" w:space="0" w:color="auto"/>
            </w:tcBorders>
            <w:shd w:val="clear" w:color="000000" w:fill="FFFFFF"/>
            <w:noWrap/>
            <w:vAlign w:val="center"/>
          </w:tcPr>
          <w:p w14:paraId="7FD3589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1350.2</w:t>
            </w:r>
          </w:p>
        </w:tc>
        <w:tc>
          <w:tcPr>
            <w:tcW w:w="605" w:type="pct"/>
            <w:tcBorders>
              <w:top w:val="nil"/>
              <w:left w:val="nil"/>
              <w:bottom w:val="single" w:sz="4" w:space="0" w:color="auto"/>
              <w:right w:val="single" w:sz="4" w:space="0" w:color="auto"/>
            </w:tcBorders>
            <w:shd w:val="clear" w:color="000000" w:fill="FFFFFF"/>
            <w:noWrap/>
            <w:vAlign w:val="center"/>
          </w:tcPr>
          <w:p w14:paraId="69FA0AB1"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47222.7</w:t>
            </w:r>
          </w:p>
        </w:tc>
        <w:tc>
          <w:tcPr>
            <w:tcW w:w="486" w:type="pct"/>
            <w:tcBorders>
              <w:top w:val="nil"/>
              <w:left w:val="nil"/>
              <w:bottom w:val="single" w:sz="4" w:space="0" w:color="auto"/>
              <w:right w:val="single" w:sz="4" w:space="0" w:color="auto"/>
            </w:tcBorders>
            <w:shd w:val="clear" w:color="000000" w:fill="FFFFFF"/>
            <w:noWrap/>
            <w:vAlign w:val="center"/>
          </w:tcPr>
          <w:p w14:paraId="38791BE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40.5</w:t>
            </w:r>
          </w:p>
        </w:tc>
        <w:tc>
          <w:tcPr>
            <w:tcW w:w="476" w:type="pct"/>
            <w:tcBorders>
              <w:top w:val="nil"/>
              <w:left w:val="nil"/>
              <w:bottom w:val="single" w:sz="4" w:space="0" w:color="auto"/>
              <w:right w:val="single" w:sz="4" w:space="0" w:color="auto"/>
            </w:tcBorders>
            <w:shd w:val="clear" w:color="000000" w:fill="FFFFFF"/>
            <w:noWrap/>
            <w:vAlign w:val="center"/>
          </w:tcPr>
          <w:p w14:paraId="1930C44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38.14</w:t>
            </w:r>
          </w:p>
        </w:tc>
      </w:tr>
      <w:tr w:rsidR="00136F89" w:rsidRPr="00E822FF" w14:paraId="50E3302E"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5C6E2C0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8</w:t>
            </w:r>
          </w:p>
        </w:tc>
        <w:tc>
          <w:tcPr>
            <w:tcW w:w="569" w:type="pct"/>
            <w:tcBorders>
              <w:top w:val="nil"/>
              <w:left w:val="nil"/>
              <w:bottom w:val="single" w:sz="4" w:space="0" w:color="auto"/>
              <w:right w:val="single" w:sz="4" w:space="0" w:color="auto"/>
            </w:tcBorders>
            <w:shd w:val="clear" w:color="000000" w:fill="FFFFFF"/>
            <w:noWrap/>
            <w:vAlign w:val="center"/>
          </w:tcPr>
          <w:p w14:paraId="099CF10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74.32</w:t>
            </w:r>
          </w:p>
        </w:tc>
        <w:tc>
          <w:tcPr>
            <w:tcW w:w="466" w:type="pct"/>
            <w:tcBorders>
              <w:top w:val="nil"/>
              <w:left w:val="nil"/>
              <w:bottom w:val="single" w:sz="4" w:space="0" w:color="auto"/>
              <w:right w:val="single" w:sz="4" w:space="0" w:color="auto"/>
            </w:tcBorders>
            <w:shd w:val="clear" w:color="000000" w:fill="FFFFFF"/>
            <w:noWrap/>
            <w:vAlign w:val="center"/>
          </w:tcPr>
          <w:p w14:paraId="64D7482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57.19</w:t>
            </w:r>
          </w:p>
        </w:tc>
        <w:tc>
          <w:tcPr>
            <w:tcW w:w="596" w:type="pct"/>
            <w:tcBorders>
              <w:top w:val="nil"/>
              <w:left w:val="nil"/>
              <w:bottom w:val="single" w:sz="4" w:space="0" w:color="auto"/>
              <w:right w:val="single" w:sz="4" w:space="0" w:color="auto"/>
            </w:tcBorders>
            <w:shd w:val="clear" w:color="000000" w:fill="FFFFFF"/>
            <w:noWrap/>
            <w:vAlign w:val="center"/>
          </w:tcPr>
          <w:p w14:paraId="31F7B2E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2744.0</w:t>
            </w:r>
          </w:p>
        </w:tc>
        <w:tc>
          <w:tcPr>
            <w:tcW w:w="543" w:type="pct"/>
            <w:tcBorders>
              <w:top w:val="nil"/>
              <w:left w:val="nil"/>
              <w:bottom w:val="single" w:sz="4" w:space="0" w:color="auto"/>
              <w:right w:val="single" w:sz="4" w:space="0" w:color="auto"/>
            </w:tcBorders>
            <w:shd w:val="clear" w:color="000000" w:fill="FFFFFF"/>
            <w:noWrap/>
            <w:vAlign w:val="center"/>
          </w:tcPr>
          <w:p w14:paraId="0696D3E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4791.6</w:t>
            </w:r>
          </w:p>
        </w:tc>
        <w:tc>
          <w:tcPr>
            <w:tcW w:w="648" w:type="pct"/>
            <w:tcBorders>
              <w:top w:val="nil"/>
              <w:left w:val="nil"/>
              <w:bottom w:val="single" w:sz="4" w:space="0" w:color="auto"/>
              <w:right w:val="single" w:sz="4" w:space="0" w:color="auto"/>
            </w:tcBorders>
            <w:shd w:val="clear" w:color="000000" w:fill="FFFFFF"/>
            <w:noWrap/>
            <w:vAlign w:val="center"/>
          </w:tcPr>
          <w:p w14:paraId="634C478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1355.6</w:t>
            </w:r>
          </w:p>
        </w:tc>
        <w:tc>
          <w:tcPr>
            <w:tcW w:w="605" w:type="pct"/>
            <w:tcBorders>
              <w:top w:val="nil"/>
              <w:left w:val="nil"/>
              <w:bottom w:val="single" w:sz="4" w:space="0" w:color="auto"/>
              <w:right w:val="single" w:sz="4" w:space="0" w:color="auto"/>
            </w:tcBorders>
            <w:shd w:val="clear" w:color="000000" w:fill="FFFFFF"/>
            <w:noWrap/>
            <w:vAlign w:val="center"/>
          </w:tcPr>
          <w:p w14:paraId="006083C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48524.5</w:t>
            </w:r>
          </w:p>
        </w:tc>
        <w:tc>
          <w:tcPr>
            <w:tcW w:w="486" w:type="pct"/>
            <w:tcBorders>
              <w:top w:val="nil"/>
              <w:left w:val="nil"/>
              <w:bottom w:val="single" w:sz="4" w:space="0" w:color="auto"/>
              <w:right w:val="single" w:sz="4" w:space="0" w:color="auto"/>
            </w:tcBorders>
            <w:shd w:val="clear" w:color="000000" w:fill="FFFFFF"/>
            <w:noWrap/>
            <w:vAlign w:val="center"/>
          </w:tcPr>
          <w:p w14:paraId="11ACF1B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41.1</w:t>
            </w:r>
          </w:p>
        </w:tc>
        <w:tc>
          <w:tcPr>
            <w:tcW w:w="476" w:type="pct"/>
            <w:tcBorders>
              <w:top w:val="nil"/>
              <w:left w:val="nil"/>
              <w:bottom w:val="single" w:sz="4" w:space="0" w:color="auto"/>
              <w:right w:val="single" w:sz="4" w:space="0" w:color="auto"/>
            </w:tcBorders>
            <w:shd w:val="clear" w:color="000000" w:fill="FFFFFF"/>
            <w:noWrap/>
            <w:vAlign w:val="center"/>
          </w:tcPr>
          <w:p w14:paraId="32C1D3B2"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37.52</w:t>
            </w:r>
          </w:p>
        </w:tc>
      </w:tr>
      <w:tr w:rsidR="00136F89" w:rsidRPr="00E822FF" w14:paraId="0711C8FE"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36BC42E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最大值</w:t>
            </w:r>
          </w:p>
        </w:tc>
        <w:tc>
          <w:tcPr>
            <w:tcW w:w="569" w:type="pct"/>
            <w:tcBorders>
              <w:top w:val="nil"/>
              <w:left w:val="nil"/>
              <w:bottom w:val="single" w:sz="4" w:space="0" w:color="auto"/>
              <w:right w:val="single" w:sz="4" w:space="0" w:color="auto"/>
            </w:tcBorders>
            <w:shd w:val="clear" w:color="000000" w:fill="FFFFFF"/>
            <w:noWrap/>
            <w:vAlign w:val="center"/>
          </w:tcPr>
          <w:p w14:paraId="6F6085B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75.63</w:t>
            </w:r>
          </w:p>
        </w:tc>
        <w:tc>
          <w:tcPr>
            <w:tcW w:w="466" w:type="pct"/>
            <w:tcBorders>
              <w:top w:val="nil"/>
              <w:left w:val="nil"/>
              <w:bottom w:val="single" w:sz="4" w:space="0" w:color="auto"/>
              <w:right w:val="single" w:sz="4" w:space="0" w:color="auto"/>
            </w:tcBorders>
            <w:shd w:val="clear" w:color="000000" w:fill="FFFFFF"/>
            <w:noWrap/>
            <w:vAlign w:val="center"/>
          </w:tcPr>
          <w:p w14:paraId="64F6B4D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 xml:space="preserve">57.19 </w:t>
            </w:r>
          </w:p>
        </w:tc>
        <w:tc>
          <w:tcPr>
            <w:tcW w:w="596" w:type="pct"/>
            <w:tcBorders>
              <w:top w:val="nil"/>
              <w:left w:val="nil"/>
              <w:bottom w:val="single" w:sz="4" w:space="0" w:color="auto"/>
              <w:right w:val="single" w:sz="4" w:space="0" w:color="auto"/>
            </w:tcBorders>
            <w:shd w:val="clear" w:color="000000" w:fill="FFFFFF"/>
            <w:noWrap/>
            <w:vAlign w:val="center"/>
          </w:tcPr>
          <w:p w14:paraId="6784839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2744.03</w:t>
            </w:r>
          </w:p>
        </w:tc>
        <w:tc>
          <w:tcPr>
            <w:tcW w:w="543" w:type="pct"/>
            <w:tcBorders>
              <w:top w:val="nil"/>
              <w:left w:val="nil"/>
              <w:bottom w:val="single" w:sz="4" w:space="0" w:color="auto"/>
              <w:right w:val="single" w:sz="4" w:space="0" w:color="auto"/>
            </w:tcBorders>
            <w:shd w:val="clear" w:color="000000" w:fill="FFFFFF"/>
            <w:noWrap/>
            <w:vAlign w:val="center"/>
          </w:tcPr>
          <w:p w14:paraId="61B8BF0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4791.63</w:t>
            </w:r>
          </w:p>
        </w:tc>
        <w:tc>
          <w:tcPr>
            <w:tcW w:w="648" w:type="pct"/>
            <w:tcBorders>
              <w:top w:val="nil"/>
              <w:left w:val="nil"/>
              <w:bottom w:val="single" w:sz="4" w:space="0" w:color="auto"/>
              <w:right w:val="single" w:sz="4" w:space="0" w:color="auto"/>
            </w:tcBorders>
            <w:shd w:val="clear" w:color="000000" w:fill="FFFFFF"/>
            <w:noWrap/>
            <w:vAlign w:val="center"/>
          </w:tcPr>
          <w:p w14:paraId="078619F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1355.55</w:t>
            </w:r>
          </w:p>
        </w:tc>
        <w:tc>
          <w:tcPr>
            <w:tcW w:w="605" w:type="pct"/>
            <w:tcBorders>
              <w:top w:val="nil"/>
              <w:left w:val="nil"/>
              <w:bottom w:val="single" w:sz="4" w:space="0" w:color="auto"/>
              <w:right w:val="single" w:sz="4" w:space="0" w:color="auto"/>
            </w:tcBorders>
            <w:shd w:val="clear" w:color="000000" w:fill="FFFFFF"/>
            <w:noWrap/>
            <w:vAlign w:val="center"/>
          </w:tcPr>
          <w:p w14:paraId="3E9F9E3B"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48524.50</w:t>
            </w:r>
          </w:p>
        </w:tc>
        <w:tc>
          <w:tcPr>
            <w:tcW w:w="486" w:type="pct"/>
            <w:tcBorders>
              <w:top w:val="nil"/>
              <w:left w:val="nil"/>
              <w:bottom w:val="single" w:sz="4" w:space="0" w:color="auto"/>
              <w:right w:val="single" w:sz="4" w:space="0" w:color="auto"/>
            </w:tcBorders>
            <w:shd w:val="clear" w:color="000000" w:fill="FFFFFF"/>
            <w:noWrap/>
            <w:vAlign w:val="center"/>
          </w:tcPr>
          <w:p w14:paraId="0C86146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41.15</w:t>
            </w:r>
          </w:p>
        </w:tc>
        <w:tc>
          <w:tcPr>
            <w:tcW w:w="476" w:type="pct"/>
            <w:tcBorders>
              <w:top w:val="nil"/>
              <w:left w:val="nil"/>
              <w:bottom w:val="single" w:sz="4" w:space="0" w:color="auto"/>
              <w:right w:val="single" w:sz="4" w:space="0" w:color="auto"/>
            </w:tcBorders>
            <w:shd w:val="clear" w:color="000000" w:fill="FFFFFF"/>
            <w:noWrap/>
            <w:vAlign w:val="center"/>
          </w:tcPr>
          <w:p w14:paraId="0ECA6F0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39.30</w:t>
            </w:r>
          </w:p>
        </w:tc>
      </w:tr>
      <w:tr w:rsidR="00136F89" w:rsidRPr="00E822FF" w14:paraId="0F7553C3"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5058784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最小值</w:t>
            </w:r>
          </w:p>
        </w:tc>
        <w:tc>
          <w:tcPr>
            <w:tcW w:w="569" w:type="pct"/>
            <w:tcBorders>
              <w:top w:val="nil"/>
              <w:left w:val="nil"/>
              <w:bottom w:val="single" w:sz="4" w:space="0" w:color="auto"/>
              <w:right w:val="single" w:sz="4" w:space="0" w:color="auto"/>
            </w:tcBorders>
            <w:shd w:val="clear" w:color="000000" w:fill="FFFFFF"/>
            <w:noWrap/>
            <w:vAlign w:val="center"/>
          </w:tcPr>
          <w:p w14:paraId="6D0A80D2"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74.07</w:t>
            </w:r>
          </w:p>
        </w:tc>
        <w:tc>
          <w:tcPr>
            <w:tcW w:w="466" w:type="pct"/>
            <w:tcBorders>
              <w:top w:val="nil"/>
              <w:left w:val="nil"/>
              <w:bottom w:val="single" w:sz="4" w:space="0" w:color="auto"/>
              <w:right w:val="single" w:sz="4" w:space="0" w:color="auto"/>
            </w:tcBorders>
            <w:shd w:val="clear" w:color="000000" w:fill="FFFFFF"/>
            <w:noWrap/>
            <w:vAlign w:val="center"/>
          </w:tcPr>
          <w:p w14:paraId="46FCFA5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 xml:space="preserve">55.46 </w:t>
            </w:r>
          </w:p>
        </w:tc>
        <w:tc>
          <w:tcPr>
            <w:tcW w:w="596" w:type="pct"/>
            <w:tcBorders>
              <w:top w:val="nil"/>
              <w:left w:val="nil"/>
              <w:bottom w:val="single" w:sz="4" w:space="0" w:color="auto"/>
              <w:right w:val="single" w:sz="4" w:space="0" w:color="auto"/>
            </w:tcBorders>
            <w:shd w:val="clear" w:color="000000" w:fill="FFFFFF"/>
            <w:noWrap/>
            <w:vAlign w:val="center"/>
          </w:tcPr>
          <w:p w14:paraId="721DA83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2293.92</w:t>
            </w:r>
          </w:p>
        </w:tc>
        <w:tc>
          <w:tcPr>
            <w:tcW w:w="543" w:type="pct"/>
            <w:tcBorders>
              <w:top w:val="nil"/>
              <w:left w:val="nil"/>
              <w:bottom w:val="single" w:sz="4" w:space="0" w:color="auto"/>
              <w:right w:val="single" w:sz="4" w:space="0" w:color="auto"/>
            </w:tcBorders>
            <w:shd w:val="clear" w:color="000000" w:fill="FFFFFF"/>
            <w:noWrap/>
            <w:vAlign w:val="center"/>
          </w:tcPr>
          <w:p w14:paraId="76CB0511"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4292.47</w:t>
            </w:r>
          </w:p>
        </w:tc>
        <w:tc>
          <w:tcPr>
            <w:tcW w:w="648" w:type="pct"/>
            <w:tcBorders>
              <w:top w:val="nil"/>
              <w:left w:val="nil"/>
              <w:bottom w:val="single" w:sz="4" w:space="0" w:color="auto"/>
              <w:right w:val="single" w:sz="4" w:space="0" w:color="auto"/>
            </w:tcBorders>
            <w:shd w:val="clear" w:color="000000" w:fill="FFFFFF"/>
            <w:noWrap/>
            <w:vAlign w:val="center"/>
          </w:tcPr>
          <w:p w14:paraId="658E5B4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1321.90</w:t>
            </w:r>
          </w:p>
        </w:tc>
        <w:tc>
          <w:tcPr>
            <w:tcW w:w="605" w:type="pct"/>
            <w:tcBorders>
              <w:top w:val="nil"/>
              <w:left w:val="nil"/>
              <w:bottom w:val="single" w:sz="4" w:space="0" w:color="auto"/>
              <w:right w:val="single" w:sz="4" w:space="0" w:color="auto"/>
            </w:tcBorders>
            <w:shd w:val="clear" w:color="000000" w:fill="FFFFFF"/>
            <w:noWrap/>
            <w:vAlign w:val="center"/>
          </w:tcPr>
          <w:p w14:paraId="2150A79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43504.00</w:t>
            </w:r>
          </w:p>
        </w:tc>
        <w:tc>
          <w:tcPr>
            <w:tcW w:w="486" w:type="pct"/>
            <w:tcBorders>
              <w:top w:val="nil"/>
              <w:left w:val="nil"/>
              <w:bottom w:val="single" w:sz="4" w:space="0" w:color="auto"/>
              <w:right w:val="single" w:sz="4" w:space="0" w:color="auto"/>
            </w:tcBorders>
            <w:shd w:val="clear" w:color="000000" w:fill="FFFFFF"/>
            <w:noWrap/>
            <w:vAlign w:val="center"/>
          </w:tcPr>
          <w:p w14:paraId="2E3AC5F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37.35</w:t>
            </w:r>
          </w:p>
        </w:tc>
        <w:tc>
          <w:tcPr>
            <w:tcW w:w="476" w:type="pct"/>
            <w:tcBorders>
              <w:top w:val="nil"/>
              <w:left w:val="nil"/>
              <w:bottom w:val="single" w:sz="4" w:space="0" w:color="auto"/>
              <w:right w:val="single" w:sz="4" w:space="0" w:color="auto"/>
            </w:tcBorders>
            <w:shd w:val="clear" w:color="000000" w:fill="FFFFFF"/>
            <w:noWrap/>
            <w:vAlign w:val="center"/>
          </w:tcPr>
          <w:p w14:paraId="1FC97AB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37.52</w:t>
            </w:r>
          </w:p>
        </w:tc>
      </w:tr>
      <w:tr w:rsidR="00136F89" w:rsidRPr="00E822FF" w14:paraId="459D79DA"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231B29C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平均值</w:t>
            </w:r>
          </w:p>
        </w:tc>
        <w:tc>
          <w:tcPr>
            <w:tcW w:w="569" w:type="pct"/>
            <w:tcBorders>
              <w:top w:val="nil"/>
              <w:left w:val="nil"/>
              <w:bottom w:val="single" w:sz="4" w:space="0" w:color="auto"/>
              <w:right w:val="single" w:sz="4" w:space="0" w:color="auto"/>
            </w:tcBorders>
            <w:shd w:val="clear" w:color="000000" w:fill="FFFFFF"/>
            <w:noWrap/>
            <w:vAlign w:val="center"/>
          </w:tcPr>
          <w:p w14:paraId="641F354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74.82</w:t>
            </w:r>
          </w:p>
        </w:tc>
        <w:tc>
          <w:tcPr>
            <w:tcW w:w="466" w:type="pct"/>
            <w:tcBorders>
              <w:top w:val="nil"/>
              <w:left w:val="nil"/>
              <w:bottom w:val="single" w:sz="4" w:space="0" w:color="auto"/>
              <w:right w:val="single" w:sz="4" w:space="0" w:color="auto"/>
            </w:tcBorders>
            <w:shd w:val="clear" w:color="000000" w:fill="FFFFFF"/>
            <w:noWrap/>
            <w:vAlign w:val="center"/>
          </w:tcPr>
          <w:p w14:paraId="1C4C9BA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 xml:space="preserve">56.14 </w:t>
            </w:r>
          </w:p>
        </w:tc>
        <w:tc>
          <w:tcPr>
            <w:tcW w:w="596" w:type="pct"/>
            <w:tcBorders>
              <w:top w:val="nil"/>
              <w:left w:val="nil"/>
              <w:bottom w:val="single" w:sz="4" w:space="0" w:color="auto"/>
              <w:right w:val="single" w:sz="4" w:space="0" w:color="auto"/>
            </w:tcBorders>
            <w:shd w:val="clear" w:color="000000" w:fill="FFFFFF"/>
            <w:noWrap/>
            <w:vAlign w:val="center"/>
          </w:tcPr>
          <w:p w14:paraId="41FCE10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2493.24</w:t>
            </w:r>
          </w:p>
        </w:tc>
        <w:tc>
          <w:tcPr>
            <w:tcW w:w="543" w:type="pct"/>
            <w:tcBorders>
              <w:top w:val="nil"/>
              <w:left w:val="nil"/>
              <w:bottom w:val="single" w:sz="4" w:space="0" w:color="auto"/>
              <w:right w:val="single" w:sz="4" w:space="0" w:color="auto"/>
            </w:tcBorders>
            <w:shd w:val="clear" w:color="000000" w:fill="FFFFFF"/>
            <w:noWrap/>
            <w:vAlign w:val="center"/>
          </w:tcPr>
          <w:p w14:paraId="1D510D8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4511.45</w:t>
            </w:r>
          </w:p>
        </w:tc>
        <w:tc>
          <w:tcPr>
            <w:tcW w:w="648" w:type="pct"/>
            <w:tcBorders>
              <w:top w:val="nil"/>
              <w:left w:val="nil"/>
              <w:bottom w:val="single" w:sz="4" w:space="0" w:color="auto"/>
              <w:right w:val="single" w:sz="4" w:space="0" w:color="auto"/>
            </w:tcBorders>
            <w:shd w:val="clear" w:color="000000" w:fill="FFFFFF"/>
            <w:noWrap/>
            <w:vAlign w:val="center"/>
          </w:tcPr>
          <w:p w14:paraId="4980BAE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1336.82</w:t>
            </w:r>
          </w:p>
        </w:tc>
        <w:tc>
          <w:tcPr>
            <w:tcW w:w="605" w:type="pct"/>
            <w:tcBorders>
              <w:top w:val="nil"/>
              <w:left w:val="nil"/>
              <w:bottom w:val="single" w:sz="4" w:space="0" w:color="auto"/>
              <w:right w:val="single" w:sz="4" w:space="0" w:color="auto"/>
            </w:tcBorders>
            <w:shd w:val="clear" w:color="000000" w:fill="FFFFFF"/>
            <w:noWrap/>
            <w:vAlign w:val="center"/>
          </w:tcPr>
          <w:p w14:paraId="6A8FE97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45804.81</w:t>
            </w:r>
          </w:p>
        </w:tc>
        <w:tc>
          <w:tcPr>
            <w:tcW w:w="486" w:type="pct"/>
            <w:tcBorders>
              <w:top w:val="nil"/>
              <w:left w:val="nil"/>
              <w:bottom w:val="single" w:sz="4" w:space="0" w:color="auto"/>
              <w:right w:val="single" w:sz="4" w:space="0" w:color="auto"/>
            </w:tcBorders>
            <w:shd w:val="clear" w:color="000000" w:fill="FFFFFF"/>
            <w:noWrap/>
            <w:vAlign w:val="center"/>
          </w:tcPr>
          <w:p w14:paraId="2DFD66F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38.98</w:t>
            </w:r>
          </w:p>
        </w:tc>
        <w:tc>
          <w:tcPr>
            <w:tcW w:w="476" w:type="pct"/>
            <w:tcBorders>
              <w:top w:val="nil"/>
              <w:left w:val="nil"/>
              <w:bottom w:val="single" w:sz="4" w:space="0" w:color="auto"/>
              <w:right w:val="single" w:sz="4" w:space="0" w:color="auto"/>
            </w:tcBorders>
            <w:shd w:val="clear" w:color="000000" w:fill="FFFFFF"/>
            <w:noWrap/>
            <w:vAlign w:val="center"/>
          </w:tcPr>
          <w:p w14:paraId="6D648DB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38.31</w:t>
            </w:r>
          </w:p>
        </w:tc>
      </w:tr>
      <w:tr w:rsidR="00136F89" w:rsidRPr="00E822FF" w14:paraId="7E5B53D8" w14:textId="77777777" w:rsidTr="00E822FF">
        <w:trPr>
          <w:trHeight w:val="283"/>
        </w:trPr>
        <w:tc>
          <w:tcPr>
            <w:tcW w:w="612" w:type="pct"/>
            <w:tcBorders>
              <w:top w:val="nil"/>
              <w:left w:val="single" w:sz="4" w:space="0" w:color="auto"/>
              <w:bottom w:val="single" w:sz="4" w:space="0" w:color="auto"/>
              <w:right w:val="single" w:sz="4" w:space="0" w:color="auto"/>
            </w:tcBorders>
            <w:shd w:val="clear" w:color="000000" w:fill="FFFFFF"/>
            <w:noWrap/>
            <w:vAlign w:val="center"/>
          </w:tcPr>
          <w:p w14:paraId="4558680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相对偏差</w:t>
            </w:r>
          </w:p>
        </w:tc>
        <w:tc>
          <w:tcPr>
            <w:tcW w:w="569" w:type="pct"/>
            <w:tcBorders>
              <w:top w:val="nil"/>
              <w:left w:val="nil"/>
              <w:bottom w:val="single" w:sz="4" w:space="0" w:color="auto"/>
              <w:right w:val="single" w:sz="4" w:space="0" w:color="auto"/>
            </w:tcBorders>
            <w:shd w:val="clear" w:color="000000" w:fill="FFFFFF"/>
            <w:noWrap/>
            <w:vAlign w:val="center"/>
          </w:tcPr>
          <w:p w14:paraId="6B9C9BF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1.09</w:t>
            </w:r>
          </w:p>
        </w:tc>
        <w:tc>
          <w:tcPr>
            <w:tcW w:w="466" w:type="pct"/>
            <w:tcBorders>
              <w:top w:val="nil"/>
              <w:left w:val="nil"/>
              <w:bottom w:val="single" w:sz="4" w:space="0" w:color="auto"/>
              <w:right w:val="single" w:sz="4" w:space="0" w:color="auto"/>
            </w:tcBorders>
            <w:shd w:val="clear" w:color="000000" w:fill="FFFFFF"/>
            <w:noWrap/>
            <w:vAlign w:val="center"/>
          </w:tcPr>
          <w:p w14:paraId="7218BD2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 xml:space="preserve">1.86 </w:t>
            </w:r>
          </w:p>
        </w:tc>
        <w:tc>
          <w:tcPr>
            <w:tcW w:w="596" w:type="pct"/>
            <w:tcBorders>
              <w:top w:val="nil"/>
              <w:left w:val="nil"/>
              <w:bottom w:val="single" w:sz="4" w:space="0" w:color="auto"/>
              <w:right w:val="single" w:sz="4" w:space="0" w:color="auto"/>
            </w:tcBorders>
            <w:shd w:val="clear" w:color="000000" w:fill="FFFFFF"/>
            <w:noWrap/>
            <w:vAlign w:val="center"/>
          </w:tcPr>
          <w:p w14:paraId="3A1E753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10.06</w:t>
            </w:r>
          </w:p>
        </w:tc>
        <w:tc>
          <w:tcPr>
            <w:tcW w:w="543" w:type="pct"/>
            <w:tcBorders>
              <w:top w:val="nil"/>
              <w:left w:val="nil"/>
              <w:bottom w:val="single" w:sz="4" w:space="0" w:color="auto"/>
              <w:right w:val="single" w:sz="4" w:space="0" w:color="auto"/>
            </w:tcBorders>
            <w:shd w:val="clear" w:color="000000" w:fill="FFFFFF"/>
            <w:noWrap/>
            <w:vAlign w:val="center"/>
          </w:tcPr>
          <w:p w14:paraId="3D82866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6.21</w:t>
            </w:r>
          </w:p>
        </w:tc>
        <w:tc>
          <w:tcPr>
            <w:tcW w:w="648" w:type="pct"/>
            <w:tcBorders>
              <w:top w:val="nil"/>
              <w:left w:val="nil"/>
              <w:bottom w:val="single" w:sz="4" w:space="0" w:color="auto"/>
              <w:right w:val="single" w:sz="4" w:space="0" w:color="auto"/>
            </w:tcBorders>
            <w:shd w:val="clear" w:color="000000" w:fill="FFFFFF"/>
            <w:noWrap/>
            <w:vAlign w:val="center"/>
          </w:tcPr>
          <w:p w14:paraId="536C1B8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1.40</w:t>
            </w:r>
          </w:p>
        </w:tc>
        <w:tc>
          <w:tcPr>
            <w:tcW w:w="605" w:type="pct"/>
            <w:tcBorders>
              <w:top w:val="nil"/>
              <w:left w:val="nil"/>
              <w:bottom w:val="single" w:sz="4" w:space="0" w:color="auto"/>
              <w:right w:val="single" w:sz="4" w:space="0" w:color="auto"/>
            </w:tcBorders>
            <w:shd w:val="clear" w:color="000000" w:fill="FFFFFF"/>
            <w:noWrap/>
            <w:vAlign w:val="center"/>
          </w:tcPr>
          <w:p w14:paraId="7569D82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5.94</w:t>
            </w:r>
          </w:p>
        </w:tc>
        <w:tc>
          <w:tcPr>
            <w:tcW w:w="486" w:type="pct"/>
            <w:tcBorders>
              <w:top w:val="nil"/>
              <w:left w:val="nil"/>
              <w:bottom w:val="single" w:sz="4" w:space="0" w:color="auto"/>
              <w:right w:val="single" w:sz="4" w:space="0" w:color="auto"/>
            </w:tcBorders>
            <w:shd w:val="clear" w:color="000000" w:fill="FFFFFF"/>
            <w:noWrap/>
            <w:vAlign w:val="center"/>
          </w:tcPr>
          <w:p w14:paraId="7896012B"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5.56</w:t>
            </w:r>
          </w:p>
        </w:tc>
        <w:tc>
          <w:tcPr>
            <w:tcW w:w="476" w:type="pct"/>
            <w:tcBorders>
              <w:top w:val="nil"/>
              <w:left w:val="nil"/>
              <w:bottom w:val="single" w:sz="4" w:space="0" w:color="auto"/>
              <w:right w:val="single" w:sz="4" w:space="0" w:color="auto"/>
            </w:tcBorders>
            <w:shd w:val="clear" w:color="000000" w:fill="FFFFFF"/>
            <w:noWrap/>
            <w:vAlign w:val="center"/>
          </w:tcPr>
          <w:p w14:paraId="2DB7C70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2.58</w:t>
            </w:r>
          </w:p>
        </w:tc>
      </w:tr>
    </w:tbl>
    <w:p w14:paraId="10AC92C9" w14:textId="77777777" w:rsidR="00136F89" w:rsidRDefault="0090020D">
      <w:pPr>
        <w:keepNext/>
        <w:spacing w:beforeLines="50" w:before="156" w:line="360" w:lineRule="auto"/>
        <w:jc w:val="center"/>
      </w:pPr>
      <w:bookmarkStart w:id="5" w:name="_Ref16683"/>
      <w:bookmarkStart w:id="6" w:name="_Ref211779982"/>
      <w:r>
        <w:rPr>
          <w:rFonts w:ascii="Times New Roman" w:eastAsia="黑体" w:hAnsi="Times New Roman" w:cs="Times New Roman"/>
          <w:kern w:val="0"/>
          <w:sz w:val="21"/>
          <w:szCs w:val="21"/>
        </w:rPr>
        <w:t>表</w:t>
      </w:r>
      <w:r>
        <w:rPr>
          <w:rFonts w:ascii="Times New Roman" w:eastAsia="黑体" w:hAnsi="Times New Roman" w:cs="Times New Roman"/>
          <w:kern w:val="0"/>
          <w:sz w:val="21"/>
          <w:szCs w:val="21"/>
        </w:rPr>
        <w:t>4-</w:t>
      </w:r>
      <w:r>
        <w:rPr>
          <w:rFonts w:ascii="Times New Roman" w:eastAsia="黑体" w:hAnsi="Times New Roman" w:cs="Times New Roman"/>
          <w:kern w:val="0"/>
          <w:sz w:val="21"/>
          <w:szCs w:val="21"/>
        </w:rPr>
        <w:fldChar w:fldCharType="begin"/>
      </w:r>
      <w:r>
        <w:rPr>
          <w:rFonts w:ascii="Times New Roman" w:eastAsia="黑体" w:hAnsi="Times New Roman" w:cs="Times New Roman"/>
          <w:kern w:val="0"/>
          <w:sz w:val="21"/>
          <w:szCs w:val="21"/>
        </w:rPr>
        <w:instrText xml:space="preserve"> SEQ </w:instrText>
      </w:r>
      <w:r>
        <w:rPr>
          <w:rFonts w:ascii="Times New Roman" w:eastAsia="黑体" w:hAnsi="Times New Roman" w:cs="Times New Roman"/>
          <w:kern w:val="0"/>
          <w:sz w:val="21"/>
          <w:szCs w:val="21"/>
        </w:rPr>
        <w:instrText>表</w:instrText>
      </w:r>
      <w:r>
        <w:rPr>
          <w:rFonts w:ascii="Times New Roman" w:eastAsia="黑体" w:hAnsi="Times New Roman" w:cs="Times New Roman"/>
          <w:kern w:val="0"/>
          <w:sz w:val="21"/>
          <w:szCs w:val="21"/>
        </w:rPr>
        <w:instrText xml:space="preserve">4- \* ARABIC </w:instrText>
      </w:r>
      <w:r>
        <w:rPr>
          <w:rFonts w:ascii="Times New Roman" w:eastAsia="黑体" w:hAnsi="Times New Roman" w:cs="Times New Roman"/>
          <w:kern w:val="0"/>
          <w:sz w:val="21"/>
          <w:szCs w:val="21"/>
        </w:rPr>
        <w:fldChar w:fldCharType="separate"/>
      </w:r>
      <w:r>
        <w:rPr>
          <w:rFonts w:ascii="Times New Roman" w:eastAsia="黑体" w:hAnsi="Times New Roman" w:cs="Times New Roman"/>
          <w:kern w:val="0"/>
          <w:sz w:val="21"/>
          <w:szCs w:val="21"/>
        </w:rPr>
        <w:t>2</w:t>
      </w:r>
      <w:r>
        <w:rPr>
          <w:rFonts w:ascii="Times New Roman" w:eastAsia="黑体" w:hAnsi="Times New Roman" w:cs="Times New Roman"/>
          <w:kern w:val="0"/>
          <w:sz w:val="21"/>
          <w:szCs w:val="21"/>
        </w:rPr>
        <w:fldChar w:fldCharType="end"/>
      </w:r>
      <w:bookmarkEnd w:id="5"/>
      <w:r>
        <w:rPr>
          <w:rFonts w:ascii="Times New Roman" w:eastAsia="黑体" w:hAnsi="Times New Roman" w:cs="Times New Roman" w:hint="eastAsia"/>
          <w:kern w:val="0"/>
          <w:sz w:val="21"/>
          <w:szCs w:val="21"/>
        </w:rPr>
        <w:t xml:space="preserve"> </w:t>
      </w:r>
      <w:r>
        <w:rPr>
          <w:rFonts w:ascii="Times New Roman" w:eastAsia="黑体" w:hAnsi="Times New Roman" w:cs="Times New Roman"/>
          <w:kern w:val="0"/>
          <w:sz w:val="21"/>
          <w:szCs w:val="21"/>
        </w:rPr>
        <w:t>中子测井仪短期稳定性测试结果</w:t>
      </w:r>
      <w:r>
        <w:rPr>
          <w:rFonts w:ascii="Times New Roman" w:eastAsia="黑体" w:hAnsi="Times New Roman" w:cs="Times New Roman"/>
          <w:kern w:val="0"/>
          <w:sz w:val="21"/>
          <w:szCs w:val="21"/>
        </w:rPr>
        <w:t>(9</w:t>
      </w:r>
      <w:r>
        <w:rPr>
          <w:rFonts w:ascii="Times New Roman" w:eastAsia="黑体" w:hAnsi="Times New Roman" w:cs="Times New Roman"/>
          <w:kern w:val="0"/>
          <w:sz w:val="21"/>
          <w:szCs w:val="21"/>
        </w:rPr>
        <w:t>月</w:t>
      </w:r>
      <w:r>
        <w:rPr>
          <w:rFonts w:ascii="Times New Roman" w:eastAsia="黑体" w:hAnsi="Times New Roman" w:cs="Times New Roman"/>
          <w:kern w:val="0"/>
          <w:sz w:val="21"/>
          <w:szCs w:val="21"/>
        </w:rPr>
        <w:t>4</w:t>
      </w:r>
      <w:r>
        <w:rPr>
          <w:rFonts w:ascii="Times New Roman" w:eastAsia="黑体" w:hAnsi="Times New Roman" w:cs="Times New Roman"/>
          <w:kern w:val="0"/>
          <w:sz w:val="21"/>
          <w:szCs w:val="21"/>
        </w:rPr>
        <w:t>日</w:t>
      </w:r>
      <w:r>
        <w:rPr>
          <w:rFonts w:ascii="Times New Roman" w:eastAsia="黑体" w:hAnsi="Times New Roman" w:cs="Times New Roman"/>
          <w:kern w:val="0"/>
          <w:sz w:val="21"/>
          <w:szCs w:val="21"/>
        </w:rPr>
        <w:t>)</w:t>
      </w:r>
    </w:p>
    <w:tbl>
      <w:tblPr>
        <w:tblW w:w="8811" w:type="dxa"/>
        <w:jc w:val="center"/>
        <w:tblLayout w:type="fixed"/>
        <w:tblLook w:val="04A0" w:firstRow="1" w:lastRow="0" w:firstColumn="1" w:lastColumn="0" w:noHBand="0" w:noVBand="1"/>
      </w:tblPr>
      <w:tblGrid>
        <w:gridCol w:w="1104"/>
        <w:gridCol w:w="992"/>
        <w:gridCol w:w="790"/>
        <w:gridCol w:w="959"/>
        <w:gridCol w:w="931"/>
        <w:gridCol w:w="1215"/>
        <w:gridCol w:w="1065"/>
        <w:gridCol w:w="810"/>
        <w:gridCol w:w="945"/>
      </w:tblGrid>
      <w:tr w:rsidR="00136F89" w:rsidRPr="007A2828" w14:paraId="5C39D368" w14:textId="77777777" w:rsidTr="00203D87">
        <w:trPr>
          <w:trHeight w:val="283"/>
          <w:tblHeader/>
          <w:jc w:val="center"/>
        </w:trPr>
        <w:tc>
          <w:tcPr>
            <w:tcW w:w="110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87F2AD"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序号</w:t>
            </w:r>
          </w:p>
        </w:tc>
        <w:tc>
          <w:tcPr>
            <w:tcW w:w="992" w:type="dxa"/>
            <w:tcBorders>
              <w:top w:val="single" w:sz="4" w:space="0" w:color="auto"/>
              <w:left w:val="nil"/>
              <w:bottom w:val="single" w:sz="4" w:space="0" w:color="auto"/>
              <w:right w:val="single" w:sz="4" w:space="0" w:color="auto"/>
            </w:tcBorders>
            <w:shd w:val="clear" w:color="000000" w:fill="FFFFFF"/>
            <w:noWrap/>
            <w:vAlign w:val="center"/>
          </w:tcPr>
          <w:p w14:paraId="45759F87"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Peak(</w:t>
            </w:r>
            <w:r w:rsidRPr="007A2828">
              <w:rPr>
                <w:rFonts w:ascii="Times New Roman" w:eastAsia="仿宋" w:hAnsi="Times New Roman" w:cs="Times New Roman"/>
                <w:kern w:val="0"/>
                <w:sz w:val="18"/>
                <w:szCs w:val="18"/>
              </w:rPr>
              <w:t>道</w:t>
            </w:r>
            <w:r w:rsidRPr="007A2828">
              <w:rPr>
                <w:rFonts w:ascii="Times New Roman" w:eastAsia="仿宋" w:hAnsi="Times New Roman" w:cs="Times New Roman"/>
                <w:kern w:val="0"/>
                <w:sz w:val="18"/>
                <w:szCs w:val="18"/>
              </w:rPr>
              <w:t>)</w:t>
            </w:r>
          </w:p>
        </w:tc>
        <w:tc>
          <w:tcPr>
            <w:tcW w:w="790" w:type="dxa"/>
            <w:tcBorders>
              <w:top w:val="single" w:sz="4" w:space="0" w:color="auto"/>
              <w:left w:val="nil"/>
              <w:bottom w:val="single" w:sz="4" w:space="0" w:color="auto"/>
              <w:right w:val="single" w:sz="4" w:space="0" w:color="auto"/>
            </w:tcBorders>
            <w:shd w:val="clear" w:color="000000" w:fill="FFFFFF"/>
            <w:noWrap/>
            <w:vAlign w:val="center"/>
          </w:tcPr>
          <w:p w14:paraId="4C75DF39"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FWHM(</w:t>
            </w:r>
            <w:r w:rsidRPr="007A2828">
              <w:rPr>
                <w:rFonts w:ascii="Times New Roman" w:eastAsia="仿宋" w:hAnsi="Times New Roman" w:cs="Times New Roman"/>
                <w:kern w:val="0"/>
                <w:sz w:val="18"/>
                <w:szCs w:val="18"/>
              </w:rPr>
              <w:t>道</w:t>
            </w:r>
            <w:r w:rsidRPr="007A2828">
              <w:rPr>
                <w:rFonts w:ascii="Times New Roman" w:eastAsia="仿宋" w:hAnsi="Times New Roman" w:cs="Times New Roman"/>
                <w:kern w:val="0"/>
                <w:sz w:val="18"/>
                <w:szCs w:val="18"/>
              </w:rPr>
              <w:t>)</w:t>
            </w:r>
          </w:p>
        </w:tc>
        <w:tc>
          <w:tcPr>
            <w:tcW w:w="959" w:type="dxa"/>
            <w:tcBorders>
              <w:top w:val="single" w:sz="4" w:space="0" w:color="auto"/>
              <w:left w:val="nil"/>
              <w:bottom w:val="single" w:sz="4" w:space="0" w:color="auto"/>
              <w:right w:val="single" w:sz="4" w:space="0" w:color="auto"/>
            </w:tcBorders>
            <w:shd w:val="clear" w:color="000000" w:fill="FFFFFF"/>
            <w:noWrap/>
            <w:vAlign w:val="center"/>
          </w:tcPr>
          <w:p w14:paraId="61017E19"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Nt1(s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c>
          <w:tcPr>
            <w:tcW w:w="931" w:type="dxa"/>
            <w:tcBorders>
              <w:top w:val="single" w:sz="4" w:space="0" w:color="auto"/>
              <w:left w:val="nil"/>
              <w:bottom w:val="single" w:sz="4" w:space="0" w:color="auto"/>
              <w:right w:val="single" w:sz="4" w:space="0" w:color="auto"/>
            </w:tcBorders>
            <w:shd w:val="clear" w:color="000000" w:fill="FFFFFF"/>
            <w:noWrap/>
            <w:vAlign w:val="center"/>
          </w:tcPr>
          <w:p w14:paraId="114F709B"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Nt2(s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c>
          <w:tcPr>
            <w:tcW w:w="1215" w:type="dxa"/>
            <w:tcBorders>
              <w:top w:val="single" w:sz="4" w:space="0" w:color="auto"/>
              <w:left w:val="nil"/>
              <w:bottom w:val="single" w:sz="4" w:space="0" w:color="auto"/>
              <w:right w:val="single" w:sz="4" w:space="0" w:color="auto"/>
            </w:tcBorders>
            <w:shd w:val="clear" w:color="000000" w:fill="FFFFFF"/>
            <w:noWrap/>
            <w:vAlign w:val="center"/>
          </w:tcPr>
          <w:p w14:paraId="2F9FB6E3" w14:textId="77777777" w:rsidR="00136F89" w:rsidRPr="007A2828" w:rsidRDefault="0090020D">
            <w:pPr>
              <w:snapToGrid w:val="0"/>
              <w:jc w:val="center"/>
              <w:rPr>
                <w:rFonts w:ascii="Times New Roman" w:eastAsia="仿宋" w:hAnsi="Times New Roman" w:cs="Times New Roman"/>
                <w:kern w:val="0"/>
                <w:sz w:val="18"/>
                <w:szCs w:val="18"/>
              </w:rPr>
            </w:pPr>
            <w:proofErr w:type="spellStart"/>
            <w:r w:rsidRPr="007A2828">
              <w:rPr>
                <w:rFonts w:ascii="Times New Roman" w:eastAsia="仿宋" w:hAnsi="Times New Roman" w:cs="Times New Roman"/>
                <w:kern w:val="0"/>
                <w:sz w:val="18"/>
                <w:szCs w:val="18"/>
              </w:rPr>
              <w:t>NtSpan</w:t>
            </w:r>
            <w:proofErr w:type="spellEnd"/>
            <w:r w:rsidRPr="007A2828">
              <w:rPr>
                <w:rFonts w:ascii="Times New Roman" w:eastAsia="仿宋" w:hAnsi="Times New Roman" w:cs="Times New Roman"/>
                <w:kern w:val="0"/>
                <w:sz w:val="18"/>
                <w:szCs w:val="18"/>
              </w:rPr>
              <w:t>(</w:t>
            </w:r>
            <w:proofErr w:type="spellStart"/>
            <w:r w:rsidRPr="007A2828">
              <w:rPr>
                <w:rFonts w:ascii="Times New Roman" w:eastAsia="仿宋" w:hAnsi="Times New Roman" w:cs="Times New Roman"/>
                <w:kern w:val="0"/>
                <w:sz w:val="18"/>
                <w:szCs w:val="18"/>
              </w:rPr>
              <w:t>μs</w:t>
            </w:r>
            <w:proofErr w:type="spellEnd"/>
            <w:r w:rsidRPr="007A2828">
              <w:rPr>
                <w:rFonts w:ascii="Times New Roman" w:eastAsia="仿宋" w:hAnsi="Times New Roman" w:cs="Times New Roman"/>
                <w:kern w:val="0"/>
                <w:sz w:val="18"/>
                <w:szCs w:val="18"/>
              </w:rPr>
              <w:t>)</w:t>
            </w:r>
          </w:p>
        </w:tc>
        <w:tc>
          <w:tcPr>
            <w:tcW w:w="1065" w:type="dxa"/>
            <w:tcBorders>
              <w:top w:val="single" w:sz="4" w:space="0" w:color="auto"/>
              <w:left w:val="nil"/>
              <w:bottom w:val="single" w:sz="4" w:space="0" w:color="auto"/>
              <w:right w:val="single" w:sz="4" w:space="0" w:color="auto"/>
            </w:tcBorders>
            <w:shd w:val="clear" w:color="000000" w:fill="FFFFFF"/>
            <w:noWrap/>
            <w:vAlign w:val="center"/>
          </w:tcPr>
          <w:p w14:paraId="1D37EE5F"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Ne1(s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c>
          <w:tcPr>
            <w:tcW w:w="810" w:type="dxa"/>
            <w:tcBorders>
              <w:top w:val="single" w:sz="4" w:space="0" w:color="auto"/>
              <w:left w:val="nil"/>
              <w:bottom w:val="single" w:sz="4" w:space="0" w:color="auto"/>
              <w:right w:val="single" w:sz="4" w:space="0" w:color="auto"/>
            </w:tcBorders>
            <w:shd w:val="clear" w:color="000000" w:fill="FFFFFF"/>
            <w:noWrap/>
            <w:vAlign w:val="center"/>
          </w:tcPr>
          <w:p w14:paraId="05C06611"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Ne2(s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c>
          <w:tcPr>
            <w:tcW w:w="945" w:type="dxa"/>
            <w:tcBorders>
              <w:top w:val="single" w:sz="4" w:space="0" w:color="auto"/>
              <w:left w:val="nil"/>
              <w:bottom w:val="single" w:sz="4" w:space="0" w:color="auto"/>
              <w:right w:val="single" w:sz="4" w:space="0" w:color="auto"/>
            </w:tcBorders>
            <w:shd w:val="clear" w:color="000000" w:fill="FFFFFF"/>
            <w:noWrap/>
            <w:vAlign w:val="center"/>
          </w:tcPr>
          <w:p w14:paraId="41184C74" w14:textId="77777777" w:rsidR="00136F89" w:rsidRPr="007A2828" w:rsidRDefault="0090020D">
            <w:pPr>
              <w:snapToGrid w:val="0"/>
              <w:jc w:val="center"/>
              <w:rPr>
                <w:rFonts w:ascii="Times New Roman" w:eastAsia="仿宋" w:hAnsi="Times New Roman" w:cs="Times New Roman"/>
                <w:kern w:val="0"/>
                <w:sz w:val="18"/>
                <w:szCs w:val="18"/>
              </w:rPr>
            </w:pPr>
            <w:r w:rsidRPr="007A2828">
              <w:rPr>
                <w:rFonts w:ascii="Times New Roman" w:eastAsia="仿宋" w:hAnsi="Times New Roman" w:cs="Times New Roman"/>
                <w:kern w:val="0"/>
                <w:sz w:val="18"/>
                <w:szCs w:val="18"/>
              </w:rPr>
              <w:t>Nec(s</w:t>
            </w:r>
            <w:r w:rsidRPr="007A2828">
              <w:rPr>
                <w:rFonts w:ascii="Times New Roman" w:eastAsia="仿宋" w:hAnsi="Times New Roman" w:cs="Times New Roman"/>
                <w:kern w:val="0"/>
                <w:sz w:val="18"/>
                <w:szCs w:val="18"/>
                <w:vertAlign w:val="superscript"/>
              </w:rPr>
              <w:t>-1</w:t>
            </w:r>
            <w:r w:rsidRPr="007A2828">
              <w:rPr>
                <w:rFonts w:ascii="Times New Roman" w:eastAsia="仿宋" w:hAnsi="Times New Roman" w:cs="Times New Roman"/>
                <w:kern w:val="0"/>
                <w:sz w:val="18"/>
                <w:szCs w:val="18"/>
              </w:rPr>
              <w:t>)</w:t>
            </w:r>
          </w:p>
        </w:tc>
      </w:tr>
      <w:tr w:rsidR="00136F89" w:rsidRPr="00E822FF" w14:paraId="0A646AAB"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317031B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1</w:t>
            </w:r>
          </w:p>
        </w:tc>
        <w:tc>
          <w:tcPr>
            <w:tcW w:w="992" w:type="dxa"/>
            <w:tcBorders>
              <w:top w:val="nil"/>
              <w:left w:val="nil"/>
              <w:bottom w:val="single" w:sz="4" w:space="0" w:color="auto"/>
              <w:right w:val="single" w:sz="4" w:space="0" w:color="auto"/>
            </w:tcBorders>
            <w:shd w:val="clear" w:color="000000" w:fill="FFFFFF"/>
            <w:noWrap/>
            <w:vAlign w:val="center"/>
          </w:tcPr>
          <w:p w14:paraId="3831349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75.17 </w:t>
            </w:r>
          </w:p>
        </w:tc>
        <w:tc>
          <w:tcPr>
            <w:tcW w:w="790" w:type="dxa"/>
            <w:tcBorders>
              <w:top w:val="nil"/>
              <w:left w:val="nil"/>
              <w:bottom w:val="single" w:sz="4" w:space="0" w:color="auto"/>
              <w:right w:val="single" w:sz="4" w:space="0" w:color="auto"/>
            </w:tcBorders>
            <w:shd w:val="clear" w:color="000000" w:fill="FFFFFF"/>
            <w:noWrap/>
            <w:vAlign w:val="center"/>
          </w:tcPr>
          <w:p w14:paraId="52BC6F22"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56.91 </w:t>
            </w:r>
          </w:p>
        </w:tc>
        <w:tc>
          <w:tcPr>
            <w:tcW w:w="959" w:type="dxa"/>
            <w:tcBorders>
              <w:top w:val="nil"/>
              <w:left w:val="nil"/>
              <w:bottom w:val="single" w:sz="4" w:space="0" w:color="auto"/>
              <w:right w:val="single" w:sz="4" w:space="0" w:color="auto"/>
            </w:tcBorders>
            <w:shd w:val="clear" w:color="000000" w:fill="FFFFFF"/>
            <w:noWrap/>
            <w:vAlign w:val="center"/>
          </w:tcPr>
          <w:p w14:paraId="22004E1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2308.8 </w:t>
            </w:r>
          </w:p>
        </w:tc>
        <w:tc>
          <w:tcPr>
            <w:tcW w:w="931" w:type="dxa"/>
            <w:tcBorders>
              <w:top w:val="nil"/>
              <w:left w:val="nil"/>
              <w:bottom w:val="single" w:sz="4" w:space="0" w:color="auto"/>
              <w:right w:val="single" w:sz="4" w:space="0" w:color="auto"/>
            </w:tcBorders>
            <w:shd w:val="clear" w:color="000000" w:fill="FFFFFF"/>
            <w:noWrap/>
            <w:vAlign w:val="center"/>
          </w:tcPr>
          <w:p w14:paraId="00C14B1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4221.8 </w:t>
            </w:r>
          </w:p>
        </w:tc>
        <w:tc>
          <w:tcPr>
            <w:tcW w:w="1215" w:type="dxa"/>
            <w:tcBorders>
              <w:top w:val="nil"/>
              <w:left w:val="nil"/>
              <w:bottom w:val="single" w:sz="4" w:space="0" w:color="auto"/>
              <w:right w:val="single" w:sz="4" w:space="0" w:color="auto"/>
            </w:tcBorders>
            <w:shd w:val="clear" w:color="000000" w:fill="FFFFFF"/>
            <w:noWrap/>
            <w:vAlign w:val="center"/>
          </w:tcPr>
          <w:p w14:paraId="126A465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1318.3 </w:t>
            </w:r>
          </w:p>
        </w:tc>
        <w:tc>
          <w:tcPr>
            <w:tcW w:w="1065" w:type="dxa"/>
            <w:tcBorders>
              <w:top w:val="nil"/>
              <w:left w:val="nil"/>
              <w:bottom w:val="single" w:sz="4" w:space="0" w:color="auto"/>
              <w:right w:val="single" w:sz="4" w:space="0" w:color="auto"/>
            </w:tcBorders>
            <w:shd w:val="clear" w:color="000000" w:fill="FFFFFF"/>
            <w:noWrap/>
            <w:vAlign w:val="center"/>
          </w:tcPr>
          <w:p w14:paraId="121925B1"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42553.2 </w:t>
            </w:r>
          </w:p>
        </w:tc>
        <w:tc>
          <w:tcPr>
            <w:tcW w:w="810" w:type="dxa"/>
            <w:tcBorders>
              <w:top w:val="nil"/>
              <w:left w:val="nil"/>
              <w:bottom w:val="single" w:sz="4" w:space="0" w:color="auto"/>
              <w:right w:val="single" w:sz="4" w:space="0" w:color="auto"/>
            </w:tcBorders>
            <w:shd w:val="clear" w:color="000000" w:fill="FFFFFF"/>
            <w:noWrap/>
            <w:vAlign w:val="center"/>
          </w:tcPr>
          <w:p w14:paraId="69C7AB1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35.7 </w:t>
            </w:r>
          </w:p>
        </w:tc>
        <w:tc>
          <w:tcPr>
            <w:tcW w:w="945" w:type="dxa"/>
            <w:tcBorders>
              <w:top w:val="nil"/>
              <w:left w:val="nil"/>
              <w:bottom w:val="single" w:sz="4" w:space="0" w:color="auto"/>
              <w:right w:val="single" w:sz="4" w:space="0" w:color="auto"/>
            </w:tcBorders>
            <w:shd w:val="clear" w:color="000000" w:fill="FFFFFF"/>
            <w:noWrap/>
            <w:vAlign w:val="center"/>
          </w:tcPr>
          <w:p w14:paraId="2BFC5562"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36.57 </w:t>
            </w:r>
          </w:p>
        </w:tc>
      </w:tr>
      <w:tr w:rsidR="00136F89" w:rsidRPr="00E822FF" w14:paraId="608E4133"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495CE25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2</w:t>
            </w:r>
          </w:p>
        </w:tc>
        <w:tc>
          <w:tcPr>
            <w:tcW w:w="992" w:type="dxa"/>
            <w:tcBorders>
              <w:top w:val="nil"/>
              <w:left w:val="nil"/>
              <w:bottom w:val="single" w:sz="4" w:space="0" w:color="auto"/>
              <w:right w:val="single" w:sz="4" w:space="0" w:color="auto"/>
            </w:tcBorders>
            <w:shd w:val="clear" w:color="000000" w:fill="FFFFFF"/>
            <w:noWrap/>
            <w:vAlign w:val="center"/>
          </w:tcPr>
          <w:p w14:paraId="0B63CA4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75.06 </w:t>
            </w:r>
          </w:p>
        </w:tc>
        <w:tc>
          <w:tcPr>
            <w:tcW w:w="790" w:type="dxa"/>
            <w:tcBorders>
              <w:top w:val="nil"/>
              <w:left w:val="nil"/>
              <w:bottom w:val="single" w:sz="4" w:space="0" w:color="auto"/>
              <w:right w:val="single" w:sz="4" w:space="0" w:color="auto"/>
            </w:tcBorders>
            <w:shd w:val="clear" w:color="000000" w:fill="FFFFFF"/>
            <w:noWrap/>
            <w:vAlign w:val="center"/>
          </w:tcPr>
          <w:p w14:paraId="0E53886B"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57.24 </w:t>
            </w:r>
          </w:p>
        </w:tc>
        <w:tc>
          <w:tcPr>
            <w:tcW w:w="959" w:type="dxa"/>
            <w:tcBorders>
              <w:top w:val="nil"/>
              <w:left w:val="nil"/>
              <w:bottom w:val="single" w:sz="4" w:space="0" w:color="auto"/>
              <w:right w:val="single" w:sz="4" w:space="0" w:color="auto"/>
            </w:tcBorders>
            <w:shd w:val="clear" w:color="000000" w:fill="FFFFFF"/>
            <w:noWrap/>
            <w:vAlign w:val="center"/>
          </w:tcPr>
          <w:p w14:paraId="35A5320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2338.2 </w:t>
            </w:r>
          </w:p>
        </w:tc>
        <w:tc>
          <w:tcPr>
            <w:tcW w:w="931" w:type="dxa"/>
            <w:tcBorders>
              <w:top w:val="nil"/>
              <w:left w:val="nil"/>
              <w:bottom w:val="single" w:sz="4" w:space="0" w:color="auto"/>
              <w:right w:val="single" w:sz="4" w:space="0" w:color="auto"/>
            </w:tcBorders>
            <w:shd w:val="clear" w:color="000000" w:fill="FFFFFF"/>
            <w:noWrap/>
            <w:vAlign w:val="center"/>
          </w:tcPr>
          <w:p w14:paraId="1D7E445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4245.7 </w:t>
            </w:r>
          </w:p>
        </w:tc>
        <w:tc>
          <w:tcPr>
            <w:tcW w:w="1215" w:type="dxa"/>
            <w:tcBorders>
              <w:top w:val="nil"/>
              <w:left w:val="nil"/>
              <w:bottom w:val="single" w:sz="4" w:space="0" w:color="auto"/>
              <w:right w:val="single" w:sz="4" w:space="0" w:color="auto"/>
            </w:tcBorders>
            <w:shd w:val="clear" w:color="000000" w:fill="FFFFFF"/>
            <w:noWrap/>
            <w:vAlign w:val="center"/>
          </w:tcPr>
          <w:p w14:paraId="10107DB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1321.4 </w:t>
            </w:r>
          </w:p>
        </w:tc>
        <w:tc>
          <w:tcPr>
            <w:tcW w:w="1065" w:type="dxa"/>
            <w:tcBorders>
              <w:top w:val="nil"/>
              <w:left w:val="nil"/>
              <w:bottom w:val="single" w:sz="4" w:space="0" w:color="auto"/>
              <w:right w:val="single" w:sz="4" w:space="0" w:color="auto"/>
            </w:tcBorders>
            <w:shd w:val="clear" w:color="000000" w:fill="FFFFFF"/>
            <w:noWrap/>
            <w:vAlign w:val="center"/>
          </w:tcPr>
          <w:p w14:paraId="63B4CE71"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42923.7 </w:t>
            </w:r>
          </w:p>
        </w:tc>
        <w:tc>
          <w:tcPr>
            <w:tcW w:w="810" w:type="dxa"/>
            <w:tcBorders>
              <w:top w:val="nil"/>
              <w:left w:val="nil"/>
              <w:bottom w:val="single" w:sz="4" w:space="0" w:color="auto"/>
              <w:right w:val="single" w:sz="4" w:space="0" w:color="auto"/>
            </w:tcBorders>
            <w:shd w:val="clear" w:color="000000" w:fill="FFFFFF"/>
            <w:noWrap/>
            <w:vAlign w:val="center"/>
          </w:tcPr>
          <w:p w14:paraId="2A60BEE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36.2 </w:t>
            </w:r>
          </w:p>
        </w:tc>
        <w:tc>
          <w:tcPr>
            <w:tcW w:w="945" w:type="dxa"/>
            <w:tcBorders>
              <w:top w:val="nil"/>
              <w:left w:val="nil"/>
              <w:bottom w:val="single" w:sz="4" w:space="0" w:color="auto"/>
              <w:right w:val="single" w:sz="4" w:space="0" w:color="auto"/>
            </w:tcBorders>
            <w:shd w:val="clear" w:color="000000" w:fill="FFFFFF"/>
            <w:noWrap/>
            <w:vAlign w:val="center"/>
          </w:tcPr>
          <w:p w14:paraId="5C87CB4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36.61 </w:t>
            </w:r>
          </w:p>
        </w:tc>
      </w:tr>
      <w:tr w:rsidR="00136F89" w:rsidRPr="00E822FF" w14:paraId="1FF424A9"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4C683CA2"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3</w:t>
            </w:r>
          </w:p>
        </w:tc>
        <w:tc>
          <w:tcPr>
            <w:tcW w:w="992" w:type="dxa"/>
            <w:tcBorders>
              <w:top w:val="nil"/>
              <w:left w:val="nil"/>
              <w:bottom w:val="single" w:sz="4" w:space="0" w:color="auto"/>
              <w:right w:val="single" w:sz="4" w:space="0" w:color="auto"/>
            </w:tcBorders>
            <w:shd w:val="clear" w:color="000000" w:fill="FFFFFF"/>
            <w:noWrap/>
            <w:vAlign w:val="center"/>
          </w:tcPr>
          <w:p w14:paraId="55EAFD6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75.84 </w:t>
            </w:r>
          </w:p>
        </w:tc>
        <w:tc>
          <w:tcPr>
            <w:tcW w:w="790" w:type="dxa"/>
            <w:tcBorders>
              <w:top w:val="nil"/>
              <w:left w:val="nil"/>
              <w:bottom w:val="single" w:sz="4" w:space="0" w:color="auto"/>
              <w:right w:val="single" w:sz="4" w:space="0" w:color="auto"/>
            </w:tcBorders>
            <w:shd w:val="clear" w:color="000000" w:fill="FFFFFF"/>
            <w:noWrap/>
            <w:vAlign w:val="center"/>
          </w:tcPr>
          <w:p w14:paraId="33081722"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57.39 </w:t>
            </w:r>
          </w:p>
        </w:tc>
        <w:tc>
          <w:tcPr>
            <w:tcW w:w="959" w:type="dxa"/>
            <w:tcBorders>
              <w:top w:val="nil"/>
              <w:left w:val="nil"/>
              <w:bottom w:val="single" w:sz="4" w:space="0" w:color="auto"/>
              <w:right w:val="single" w:sz="4" w:space="0" w:color="auto"/>
            </w:tcBorders>
            <w:shd w:val="clear" w:color="000000" w:fill="FFFFFF"/>
            <w:noWrap/>
            <w:vAlign w:val="center"/>
          </w:tcPr>
          <w:p w14:paraId="586C4E7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2368.6 </w:t>
            </w:r>
          </w:p>
        </w:tc>
        <w:tc>
          <w:tcPr>
            <w:tcW w:w="931" w:type="dxa"/>
            <w:tcBorders>
              <w:top w:val="nil"/>
              <w:left w:val="nil"/>
              <w:bottom w:val="single" w:sz="4" w:space="0" w:color="auto"/>
              <w:right w:val="single" w:sz="4" w:space="0" w:color="auto"/>
            </w:tcBorders>
            <w:shd w:val="clear" w:color="000000" w:fill="FFFFFF"/>
            <w:noWrap/>
            <w:vAlign w:val="center"/>
          </w:tcPr>
          <w:p w14:paraId="4E0B004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4279.7 </w:t>
            </w:r>
          </w:p>
        </w:tc>
        <w:tc>
          <w:tcPr>
            <w:tcW w:w="1215" w:type="dxa"/>
            <w:tcBorders>
              <w:top w:val="nil"/>
              <w:left w:val="nil"/>
              <w:bottom w:val="single" w:sz="4" w:space="0" w:color="auto"/>
              <w:right w:val="single" w:sz="4" w:space="0" w:color="auto"/>
            </w:tcBorders>
            <w:shd w:val="clear" w:color="000000" w:fill="FFFFFF"/>
            <w:noWrap/>
            <w:vAlign w:val="center"/>
          </w:tcPr>
          <w:p w14:paraId="17165D7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1324.2 </w:t>
            </w:r>
          </w:p>
        </w:tc>
        <w:tc>
          <w:tcPr>
            <w:tcW w:w="1065" w:type="dxa"/>
            <w:tcBorders>
              <w:top w:val="nil"/>
              <w:left w:val="nil"/>
              <w:bottom w:val="single" w:sz="4" w:space="0" w:color="auto"/>
              <w:right w:val="single" w:sz="4" w:space="0" w:color="auto"/>
            </w:tcBorders>
            <w:shd w:val="clear" w:color="000000" w:fill="FFFFFF"/>
            <w:noWrap/>
            <w:vAlign w:val="center"/>
          </w:tcPr>
          <w:p w14:paraId="500D5901"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43260.6 </w:t>
            </w:r>
          </w:p>
        </w:tc>
        <w:tc>
          <w:tcPr>
            <w:tcW w:w="810" w:type="dxa"/>
            <w:tcBorders>
              <w:top w:val="nil"/>
              <w:left w:val="nil"/>
              <w:bottom w:val="single" w:sz="4" w:space="0" w:color="auto"/>
              <w:right w:val="single" w:sz="4" w:space="0" w:color="auto"/>
            </w:tcBorders>
            <w:shd w:val="clear" w:color="000000" w:fill="FFFFFF"/>
            <w:noWrap/>
            <w:vAlign w:val="center"/>
          </w:tcPr>
          <w:p w14:paraId="2B1C57F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37.1 </w:t>
            </w:r>
          </w:p>
        </w:tc>
        <w:tc>
          <w:tcPr>
            <w:tcW w:w="945" w:type="dxa"/>
            <w:tcBorders>
              <w:top w:val="nil"/>
              <w:left w:val="nil"/>
              <w:bottom w:val="single" w:sz="4" w:space="0" w:color="auto"/>
              <w:right w:val="single" w:sz="4" w:space="0" w:color="auto"/>
            </w:tcBorders>
            <w:shd w:val="clear" w:color="000000" w:fill="FFFFFF"/>
            <w:noWrap/>
            <w:vAlign w:val="center"/>
          </w:tcPr>
          <w:p w14:paraId="7967D8C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37.13 </w:t>
            </w:r>
          </w:p>
        </w:tc>
      </w:tr>
      <w:tr w:rsidR="00136F89" w:rsidRPr="00E822FF" w14:paraId="6F219C23"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742F1D4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4</w:t>
            </w:r>
          </w:p>
        </w:tc>
        <w:tc>
          <w:tcPr>
            <w:tcW w:w="992" w:type="dxa"/>
            <w:tcBorders>
              <w:top w:val="nil"/>
              <w:left w:val="nil"/>
              <w:bottom w:val="single" w:sz="4" w:space="0" w:color="auto"/>
              <w:right w:val="single" w:sz="4" w:space="0" w:color="auto"/>
            </w:tcBorders>
            <w:shd w:val="clear" w:color="000000" w:fill="FFFFFF"/>
            <w:noWrap/>
            <w:vAlign w:val="center"/>
          </w:tcPr>
          <w:p w14:paraId="4E82AA8B"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74.59 </w:t>
            </w:r>
          </w:p>
        </w:tc>
        <w:tc>
          <w:tcPr>
            <w:tcW w:w="790" w:type="dxa"/>
            <w:tcBorders>
              <w:top w:val="nil"/>
              <w:left w:val="nil"/>
              <w:bottom w:val="single" w:sz="4" w:space="0" w:color="auto"/>
              <w:right w:val="single" w:sz="4" w:space="0" w:color="auto"/>
            </w:tcBorders>
            <w:shd w:val="clear" w:color="000000" w:fill="FFFFFF"/>
            <w:noWrap/>
            <w:vAlign w:val="center"/>
          </w:tcPr>
          <w:p w14:paraId="05D5859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57.47 </w:t>
            </w:r>
          </w:p>
        </w:tc>
        <w:tc>
          <w:tcPr>
            <w:tcW w:w="959" w:type="dxa"/>
            <w:tcBorders>
              <w:top w:val="nil"/>
              <w:left w:val="nil"/>
              <w:bottom w:val="single" w:sz="4" w:space="0" w:color="auto"/>
              <w:right w:val="single" w:sz="4" w:space="0" w:color="auto"/>
            </w:tcBorders>
            <w:shd w:val="clear" w:color="000000" w:fill="FFFFFF"/>
            <w:noWrap/>
            <w:vAlign w:val="center"/>
          </w:tcPr>
          <w:p w14:paraId="6B73C02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2461.1 </w:t>
            </w:r>
          </w:p>
        </w:tc>
        <w:tc>
          <w:tcPr>
            <w:tcW w:w="931" w:type="dxa"/>
            <w:tcBorders>
              <w:top w:val="nil"/>
              <w:left w:val="nil"/>
              <w:bottom w:val="single" w:sz="4" w:space="0" w:color="auto"/>
              <w:right w:val="single" w:sz="4" w:space="0" w:color="auto"/>
            </w:tcBorders>
            <w:shd w:val="clear" w:color="000000" w:fill="FFFFFF"/>
            <w:noWrap/>
            <w:vAlign w:val="center"/>
          </w:tcPr>
          <w:p w14:paraId="52A0B75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4294.5 </w:t>
            </w:r>
          </w:p>
        </w:tc>
        <w:tc>
          <w:tcPr>
            <w:tcW w:w="1215" w:type="dxa"/>
            <w:tcBorders>
              <w:top w:val="nil"/>
              <w:left w:val="nil"/>
              <w:bottom w:val="single" w:sz="4" w:space="0" w:color="auto"/>
              <w:right w:val="single" w:sz="4" w:space="0" w:color="auto"/>
            </w:tcBorders>
            <w:shd w:val="clear" w:color="000000" w:fill="FFFFFF"/>
            <w:noWrap/>
            <w:vAlign w:val="center"/>
          </w:tcPr>
          <w:p w14:paraId="7AA696F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1326.9 </w:t>
            </w:r>
          </w:p>
        </w:tc>
        <w:tc>
          <w:tcPr>
            <w:tcW w:w="1065" w:type="dxa"/>
            <w:tcBorders>
              <w:top w:val="nil"/>
              <w:left w:val="nil"/>
              <w:bottom w:val="single" w:sz="4" w:space="0" w:color="auto"/>
              <w:right w:val="single" w:sz="4" w:space="0" w:color="auto"/>
            </w:tcBorders>
            <w:shd w:val="clear" w:color="000000" w:fill="FFFFFF"/>
            <w:noWrap/>
            <w:vAlign w:val="center"/>
          </w:tcPr>
          <w:p w14:paraId="63F96B9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44099.1 </w:t>
            </w:r>
          </w:p>
        </w:tc>
        <w:tc>
          <w:tcPr>
            <w:tcW w:w="810" w:type="dxa"/>
            <w:tcBorders>
              <w:top w:val="nil"/>
              <w:left w:val="nil"/>
              <w:bottom w:val="single" w:sz="4" w:space="0" w:color="auto"/>
              <w:right w:val="single" w:sz="4" w:space="0" w:color="auto"/>
            </w:tcBorders>
            <w:shd w:val="clear" w:color="000000" w:fill="FFFFFF"/>
            <w:noWrap/>
            <w:vAlign w:val="center"/>
          </w:tcPr>
          <w:p w14:paraId="72A0BFF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36.1 </w:t>
            </w:r>
          </w:p>
        </w:tc>
        <w:tc>
          <w:tcPr>
            <w:tcW w:w="945" w:type="dxa"/>
            <w:tcBorders>
              <w:top w:val="nil"/>
              <w:left w:val="nil"/>
              <w:bottom w:val="single" w:sz="4" w:space="0" w:color="auto"/>
              <w:right w:val="single" w:sz="4" w:space="0" w:color="auto"/>
            </w:tcBorders>
            <w:shd w:val="clear" w:color="000000" w:fill="FFFFFF"/>
            <w:noWrap/>
            <w:vAlign w:val="center"/>
          </w:tcPr>
          <w:p w14:paraId="1BF05CB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35.38 </w:t>
            </w:r>
          </w:p>
        </w:tc>
      </w:tr>
      <w:tr w:rsidR="00136F89" w:rsidRPr="00E822FF" w14:paraId="14D992EA"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776FEBB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5</w:t>
            </w:r>
          </w:p>
        </w:tc>
        <w:tc>
          <w:tcPr>
            <w:tcW w:w="992" w:type="dxa"/>
            <w:tcBorders>
              <w:top w:val="nil"/>
              <w:left w:val="nil"/>
              <w:bottom w:val="single" w:sz="4" w:space="0" w:color="auto"/>
              <w:right w:val="single" w:sz="4" w:space="0" w:color="auto"/>
            </w:tcBorders>
            <w:shd w:val="clear" w:color="000000" w:fill="FFFFFF"/>
            <w:noWrap/>
            <w:vAlign w:val="center"/>
          </w:tcPr>
          <w:p w14:paraId="1BB3A9C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75.05 </w:t>
            </w:r>
          </w:p>
        </w:tc>
        <w:tc>
          <w:tcPr>
            <w:tcW w:w="790" w:type="dxa"/>
            <w:tcBorders>
              <w:top w:val="nil"/>
              <w:left w:val="nil"/>
              <w:bottom w:val="single" w:sz="4" w:space="0" w:color="auto"/>
              <w:right w:val="single" w:sz="4" w:space="0" w:color="auto"/>
            </w:tcBorders>
            <w:shd w:val="clear" w:color="000000" w:fill="FFFFFF"/>
            <w:noWrap/>
            <w:vAlign w:val="center"/>
          </w:tcPr>
          <w:p w14:paraId="5684CB0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57.44 </w:t>
            </w:r>
          </w:p>
        </w:tc>
        <w:tc>
          <w:tcPr>
            <w:tcW w:w="959" w:type="dxa"/>
            <w:tcBorders>
              <w:top w:val="nil"/>
              <w:left w:val="nil"/>
              <w:bottom w:val="single" w:sz="4" w:space="0" w:color="auto"/>
              <w:right w:val="single" w:sz="4" w:space="0" w:color="auto"/>
            </w:tcBorders>
            <w:shd w:val="clear" w:color="000000" w:fill="FFFFFF"/>
            <w:noWrap/>
            <w:vAlign w:val="center"/>
          </w:tcPr>
          <w:p w14:paraId="3F6C901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2399.8 </w:t>
            </w:r>
          </w:p>
        </w:tc>
        <w:tc>
          <w:tcPr>
            <w:tcW w:w="931" w:type="dxa"/>
            <w:tcBorders>
              <w:top w:val="nil"/>
              <w:left w:val="nil"/>
              <w:bottom w:val="single" w:sz="4" w:space="0" w:color="auto"/>
              <w:right w:val="single" w:sz="4" w:space="0" w:color="auto"/>
            </w:tcBorders>
            <w:shd w:val="clear" w:color="000000" w:fill="FFFFFF"/>
            <w:noWrap/>
            <w:vAlign w:val="center"/>
          </w:tcPr>
          <w:p w14:paraId="42DFF0E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4337.1 </w:t>
            </w:r>
          </w:p>
        </w:tc>
        <w:tc>
          <w:tcPr>
            <w:tcW w:w="1215" w:type="dxa"/>
            <w:tcBorders>
              <w:top w:val="nil"/>
              <w:left w:val="nil"/>
              <w:bottom w:val="single" w:sz="4" w:space="0" w:color="auto"/>
              <w:right w:val="single" w:sz="4" w:space="0" w:color="auto"/>
            </w:tcBorders>
            <w:shd w:val="clear" w:color="000000" w:fill="FFFFFF"/>
            <w:noWrap/>
            <w:vAlign w:val="center"/>
          </w:tcPr>
          <w:p w14:paraId="2429E37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1328.0 </w:t>
            </w:r>
          </w:p>
        </w:tc>
        <w:tc>
          <w:tcPr>
            <w:tcW w:w="1065" w:type="dxa"/>
            <w:tcBorders>
              <w:top w:val="nil"/>
              <w:left w:val="nil"/>
              <w:bottom w:val="single" w:sz="4" w:space="0" w:color="auto"/>
              <w:right w:val="single" w:sz="4" w:space="0" w:color="auto"/>
            </w:tcBorders>
            <w:shd w:val="clear" w:color="000000" w:fill="FFFFFF"/>
            <w:noWrap/>
            <w:vAlign w:val="center"/>
          </w:tcPr>
          <w:p w14:paraId="7608881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43657.2 </w:t>
            </w:r>
          </w:p>
        </w:tc>
        <w:tc>
          <w:tcPr>
            <w:tcW w:w="810" w:type="dxa"/>
            <w:tcBorders>
              <w:top w:val="nil"/>
              <w:left w:val="nil"/>
              <w:bottom w:val="single" w:sz="4" w:space="0" w:color="auto"/>
              <w:right w:val="single" w:sz="4" w:space="0" w:color="auto"/>
            </w:tcBorders>
            <w:shd w:val="clear" w:color="000000" w:fill="FFFFFF"/>
            <w:noWrap/>
            <w:vAlign w:val="center"/>
          </w:tcPr>
          <w:p w14:paraId="4059290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37.0 </w:t>
            </w:r>
          </w:p>
        </w:tc>
        <w:tc>
          <w:tcPr>
            <w:tcW w:w="945" w:type="dxa"/>
            <w:tcBorders>
              <w:top w:val="nil"/>
              <w:left w:val="nil"/>
              <w:bottom w:val="single" w:sz="4" w:space="0" w:color="auto"/>
              <w:right w:val="single" w:sz="4" w:space="0" w:color="auto"/>
            </w:tcBorders>
            <w:shd w:val="clear" w:color="000000" w:fill="FFFFFF"/>
            <w:noWrap/>
            <w:vAlign w:val="center"/>
          </w:tcPr>
          <w:p w14:paraId="3788C42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36.61 </w:t>
            </w:r>
          </w:p>
        </w:tc>
      </w:tr>
      <w:tr w:rsidR="00136F89" w:rsidRPr="00E822FF" w14:paraId="3FB83020"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79E5DBD1"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6</w:t>
            </w:r>
          </w:p>
        </w:tc>
        <w:tc>
          <w:tcPr>
            <w:tcW w:w="992" w:type="dxa"/>
            <w:tcBorders>
              <w:top w:val="nil"/>
              <w:left w:val="nil"/>
              <w:bottom w:val="single" w:sz="4" w:space="0" w:color="auto"/>
              <w:right w:val="single" w:sz="4" w:space="0" w:color="auto"/>
            </w:tcBorders>
            <w:shd w:val="clear" w:color="000000" w:fill="FFFFFF"/>
            <w:noWrap/>
            <w:vAlign w:val="center"/>
          </w:tcPr>
          <w:p w14:paraId="022EE5B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74.63 </w:t>
            </w:r>
          </w:p>
        </w:tc>
        <w:tc>
          <w:tcPr>
            <w:tcW w:w="790" w:type="dxa"/>
            <w:tcBorders>
              <w:top w:val="nil"/>
              <w:left w:val="nil"/>
              <w:bottom w:val="single" w:sz="4" w:space="0" w:color="auto"/>
              <w:right w:val="single" w:sz="4" w:space="0" w:color="auto"/>
            </w:tcBorders>
            <w:shd w:val="clear" w:color="000000" w:fill="FFFFFF"/>
            <w:noWrap/>
            <w:vAlign w:val="center"/>
          </w:tcPr>
          <w:p w14:paraId="5C2ED8C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57.73 </w:t>
            </w:r>
          </w:p>
        </w:tc>
        <w:tc>
          <w:tcPr>
            <w:tcW w:w="959" w:type="dxa"/>
            <w:tcBorders>
              <w:top w:val="nil"/>
              <w:left w:val="nil"/>
              <w:bottom w:val="single" w:sz="4" w:space="0" w:color="auto"/>
              <w:right w:val="single" w:sz="4" w:space="0" w:color="auto"/>
            </w:tcBorders>
            <w:shd w:val="clear" w:color="000000" w:fill="FFFFFF"/>
            <w:noWrap/>
            <w:vAlign w:val="center"/>
          </w:tcPr>
          <w:p w14:paraId="0C3EE81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2485.7 </w:t>
            </w:r>
          </w:p>
        </w:tc>
        <w:tc>
          <w:tcPr>
            <w:tcW w:w="931" w:type="dxa"/>
            <w:tcBorders>
              <w:top w:val="nil"/>
              <w:left w:val="nil"/>
              <w:bottom w:val="single" w:sz="4" w:space="0" w:color="auto"/>
              <w:right w:val="single" w:sz="4" w:space="0" w:color="auto"/>
            </w:tcBorders>
            <w:shd w:val="clear" w:color="000000" w:fill="FFFFFF"/>
            <w:noWrap/>
            <w:vAlign w:val="center"/>
          </w:tcPr>
          <w:p w14:paraId="645B9C9D"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4322.5 </w:t>
            </w:r>
          </w:p>
        </w:tc>
        <w:tc>
          <w:tcPr>
            <w:tcW w:w="1215" w:type="dxa"/>
            <w:tcBorders>
              <w:top w:val="nil"/>
              <w:left w:val="nil"/>
              <w:bottom w:val="single" w:sz="4" w:space="0" w:color="auto"/>
              <w:right w:val="single" w:sz="4" w:space="0" w:color="auto"/>
            </w:tcBorders>
            <w:shd w:val="clear" w:color="000000" w:fill="FFFFFF"/>
            <w:noWrap/>
            <w:vAlign w:val="center"/>
          </w:tcPr>
          <w:p w14:paraId="29942B72"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1329.5 </w:t>
            </w:r>
          </w:p>
        </w:tc>
        <w:tc>
          <w:tcPr>
            <w:tcW w:w="1065" w:type="dxa"/>
            <w:tcBorders>
              <w:top w:val="nil"/>
              <w:left w:val="nil"/>
              <w:bottom w:val="single" w:sz="4" w:space="0" w:color="auto"/>
              <w:right w:val="single" w:sz="4" w:space="0" w:color="auto"/>
            </w:tcBorders>
            <w:shd w:val="clear" w:color="000000" w:fill="FFFFFF"/>
            <w:noWrap/>
            <w:vAlign w:val="center"/>
          </w:tcPr>
          <w:p w14:paraId="34538A4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44369.1 </w:t>
            </w:r>
          </w:p>
        </w:tc>
        <w:tc>
          <w:tcPr>
            <w:tcW w:w="810" w:type="dxa"/>
            <w:tcBorders>
              <w:top w:val="nil"/>
              <w:left w:val="nil"/>
              <w:bottom w:val="single" w:sz="4" w:space="0" w:color="auto"/>
              <w:right w:val="single" w:sz="4" w:space="0" w:color="auto"/>
            </w:tcBorders>
            <w:shd w:val="clear" w:color="000000" w:fill="FFFFFF"/>
            <w:noWrap/>
            <w:vAlign w:val="center"/>
          </w:tcPr>
          <w:p w14:paraId="03ECCC2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36.6 </w:t>
            </w:r>
          </w:p>
        </w:tc>
        <w:tc>
          <w:tcPr>
            <w:tcW w:w="945" w:type="dxa"/>
            <w:tcBorders>
              <w:top w:val="nil"/>
              <w:left w:val="nil"/>
              <w:bottom w:val="single" w:sz="4" w:space="0" w:color="auto"/>
              <w:right w:val="single" w:sz="4" w:space="0" w:color="auto"/>
            </w:tcBorders>
            <w:shd w:val="clear" w:color="000000" w:fill="FFFFFF"/>
            <w:noWrap/>
            <w:vAlign w:val="center"/>
          </w:tcPr>
          <w:p w14:paraId="2E604EB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35.58 </w:t>
            </w:r>
          </w:p>
        </w:tc>
      </w:tr>
      <w:tr w:rsidR="00136F89" w:rsidRPr="00E822FF" w14:paraId="1A0FC049"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181B023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7</w:t>
            </w:r>
          </w:p>
        </w:tc>
        <w:tc>
          <w:tcPr>
            <w:tcW w:w="992" w:type="dxa"/>
            <w:tcBorders>
              <w:top w:val="nil"/>
              <w:left w:val="nil"/>
              <w:bottom w:val="single" w:sz="4" w:space="0" w:color="auto"/>
              <w:right w:val="single" w:sz="4" w:space="0" w:color="auto"/>
            </w:tcBorders>
            <w:shd w:val="clear" w:color="000000" w:fill="FFFFFF"/>
            <w:noWrap/>
            <w:vAlign w:val="center"/>
          </w:tcPr>
          <w:p w14:paraId="5F30892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74.51 </w:t>
            </w:r>
          </w:p>
        </w:tc>
        <w:tc>
          <w:tcPr>
            <w:tcW w:w="790" w:type="dxa"/>
            <w:tcBorders>
              <w:top w:val="nil"/>
              <w:left w:val="nil"/>
              <w:bottom w:val="single" w:sz="4" w:space="0" w:color="auto"/>
              <w:right w:val="single" w:sz="4" w:space="0" w:color="auto"/>
            </w:tcBorders>
            <w:shd w:val="clear" w:color="000000" w:fill="FFFFFF"/>
            <w:noWrap/>
            <w:vAlign w:val="center"/>
          </w:tcPr>
          <w:p w14:paraId="6409F46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57.64 </w:t>
            </w:r>
          </w:p>
        </w:tc>
        <w:tc>
          <w:tcPr>
            <w:tcW w:w="959" w:type="dxa"/>
            <w:tcBorders>
              <w:top w:val="nil"/>
              <w:left w:val="nil"/>
              <w:bottom w:val="single" w:sz="4" w:space="0" w:color="auto"/>
              <w:right w:val="single" w:sz="4" w:space="0" w:color="auto"/>
            </w:tcBorders>
            <w:shd w:val="clear" w:color="000000" w:fill="FFFFFF"/>
            <w:noWrap/>
            <w:vAlign w:val="center"/>
          </w:tcPr>
          <w:p w14:paraId="6CF21AD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2490.6 </w:t>
            </w:r>
          </w:p>
        </w:tc>
        <w:tc>
          <w:tcPr>
            <w:tcW w:w="931" w:type="dxa"/>
            <w:tcBorders>
              <w:top w:val="nil"/>
              <w:left w:val="nil"/>
              <w:bottom w:val="single" w:sz="4" w:space="0" w:color="auto"/>
              <w:right w:val="single" w:sz="4" w:space="0" w:color="auto"/>
            </w:tcBorders>
            <w:shd w:val="clear" w:color="000000" w:fill="FFFFFF"/>
            <w:noWrap/>
            <w:vAlign w:val="center"/>
          </w:tcPr>
          <w:p w14:paraId="1EFB800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4317.6 </w:t>
            </w:r>
          </w:p>
        </w:tc>
        <w:tc>
          <w:tcPr>
            <w:tcW w:w="1215" w:type="dxa"/>
            <w:tcBorders>
              <w:top w:val="nil"/>
              <w:left w:val="nil"/>
              <w:bottom w:val="single" w:sz="4" w:space="0" w:color="auto"/>
              <w:right w:val="single" w:sz="4" w:space="0" w:color="auto"/>
            </w:tcBorders>
            <w:shd w:val="clear" w:color="000000" w:fill="FFFFFF"/>
            <w:noWrap/>
            <w:vAlign w:val="center"/>
          </w:tcPr>
          <w:p w14:paraId="316B0D5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1329.6 </w:t>
            </w:r>
          </w:p>
        </w:tc>
        <w:tc>
          <w:tcPr>
            <w:tcW w:w="1065" w:type="dxa"/>
            <w:tcBorders>
              <w:top w:val="nil"/>
              <w:left w:val="nil"/>
              <w:bottom w:val="single" w:sz="4" w:space="0" w:color="auto"/>
              <w:right w:val="single" w:sz="4" w:space="0" w:color="auto"/>
            </w:tcBorders>
            <w:shd w:val="clear" w:color="000000" w:fill="FFFFFF"/>
            <w:noWrap/>
            <w:vAlign w:val="center"/>
          </w:tcPr>
          <w:p w14:paraId="72ECA8E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44494.8 </w:t>
            </w:r>
          </w:p>
        </w:tc>
        <w:tc>
          <w:tcPr>
            <w:tcW w:w="810" w:type="dxa"/>
            <w:tcBorders>
              <w:top w:val="nil"/>
              <w:left w:val="nil"/>
              <w:bottom w:val="single" w:sz="4" w:space="0" w:color="auto"/>
              <w:right w:val="single" w:sz="4" w:space="0" w:color="auto"/>
            </w:tcBorders>
            <w:shd w:val="clear" w:color="000000" w:fill="FFFFFF"/>
            <w:noWrap/>
            <w:vAlign w:val="center"/>
          </w:tcPr>
          <w:p w14:paraId="7C18E3B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36.9 </w:t>
            </w:r>
          </w:p>
        </w:tc>
        <w:tc>
          <w:tcPr>
            <w:tcW w:w="945" w:type="dxa"/>
            <w:tcBorders>
              <w:top w:val="nil"/>
              <w:left w:val="nil"/>
              <w:bottom w:val="single" w:sz="4" w:space="0" w:color="auto"/>
              <w:right w:val="single" w:sz="4" w:space="0" w:color="auto"/>
            </w:tcBorders>
            <w:shd w:val="clear" w:color="000000" w:fill="FFFFFF"/>
            <w:noWrap/>
            <w:vAlign w:val="center"/>
          </w:tcPr>
          <w:p w14:paraId="61E49AB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35.75 </w:t>
            </w:r>
          </w:p>
        </w:tc>
      </w:tr>
      <w:tr w:rsidR="00136F89" w:rsidRPr="00E822FF" w14:paraId="35698ED6"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695082A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8</w:t>
            </w:r>
          </w:p>
        </w:tc>
        <w:tc>
          <w:tcPr>
            <w:tcW w:w="992" w:type="dxa"/>
            <w:tcBorders>
              <w:top w:val="nil"/>
              <w:left w:val="nil"/>
              <w:bottom w:val="single" w:sz="4" w:space="0" w:color="auto"/>
              <w:right w:val="single" w:sz="4" w:space="0" w:color="auto"/>
            </w:tcBorders>
            <w:shd w:val="clear" w:color="000000" w:fill="FFFFFF"/>
            <w:noWrap/>
            <w:vAlign w:val="center"/>
          </w:tcPr>
          <w:p w14:paraId="50B0AA6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74.84 </w:t>
            </w:r>
          </w:p>
        </w:tc>
        <w:tc>
          <w:tcPr>
            <w:tcW w:w="790" w:type="dxa"/>
            <w:tcBorders>
              <w:top w:val="nil"/>
              <w:left w:val="nil"/>
              <w:bottom w:val="single" w:sz="4" w:space="0" w:color="auto"/>
              <w:right w:val="single" w:sz="4" w:space="0" w:color="auto"/>
            </w:tcBorders>
            <w:shd w:val="clear" w:color="000000" w:fill="FFFFFF"/>
            <w:noWrap/>
            <w:vAlign w:val="center"/>
          </w:tcPr>
          <w:p w14:paraId="2486805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57.86 </w:t>
            </w:r>
          </w:p>
        </w:tc>
        <w:tc>
          <w:tcPr>
            <w:tcW w:w="959" w:type="dxa"/>
            <w:tcBorders>
              <w:top w:val="nil"/>
              <w:left w:val="nil"/>
              <w:bottom w:val="single" w:sz="4" w:space="0" w:color="auto"/>
              <w:right w:val="single" w:sz="4" w:space="0" w:color="auto"/>
            </w:tcBorders>
            <w:shd w:val="clear" w:color="000000" w:fill="FFFFFF"/>
            <w:noWrap/>
            <w:vAlign w:val="center"/>
          </w:tcPr>
          <w:p w14:paraId="56F78A8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2514.8 </w:t>
            </w:r>
          </w:p>
        </w:tc>
        <w:tc>
          <w:tcPr>
            <w:tcW w:w="931" w:type="dxa"/>
            <w:tcBorders>
              <w:top w:val="nil"/>
              <w:left w:val="nil"/>
              <w:bottom w:val="single" w:sz="4" w:space="0" w:color="auto"/>
              <w:right w:val="single" w:sz="4" w:space="0" w:color="auto"/>
            </w:tcBorders>
            <w:shd w:val="clear" w:color="000000" w:fill="FFFFFF"/>
            <w:noWrap/>
            <w:vAlign w:val="center"/>
          </w:tcPr>
          <w:p w14:paraId="7189A0C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4350.2 </w:t>
            </w:r>
          </w:p>
        </w:tc>
        <w:tc>
          <w:tcPr>
            <w:tcW w:w="1215" w:type="dxa"/>
            <w:tcBorders>
              <w:top w:val="nil"/>
              <w:left w:val="nil"/>
              <w:bottom w:val="single" w:sz="4" w:space="0" w:color="auto"/>
              <w:right w:val="single" w:sz="4" w:space="0" w:color="auto"/>
            </w:tcBorders>
            <w:shd w:val="clear" w:color="000000" w:fill="FFFFFF"/>
            <w:noWrap/>
            <w:vAlign w:val="center"/>
          </w:tcPr>
          <w:p w14:paraId="47EAB0D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1330.7 </w:t>
            </w:r>
          </w:p>
        </w:tc>
        <w:tc>
          <w:tcPr>
            <w:tcW w:w="1065" w:type="dxa"/>
            <w:tcBorders>
              <w:top w:val="nil"/>
              <w:left w:val="nil"/>
              <w:bottom w:val="single" w:sz="4" w:space="0" w:color="auto"/>
              <w:right w:val="single" w:sz="4" w:space="0" w:color="auto"/>
            </w:tcBorders>
            <w:shd w:val="clear" w:color="000000" w:fill="FFFFFF"/>
            <w:noWrap/>
            <w:vAlign w:val="center"/>
          </w:tcPr>
          <w:p w14:paraId="118DFB6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44621.9 </w:t>
            </w:r>
          </w:p>
        </w:tc>
        <w:tc>
          <w:tcPr>
            <w:tcW w:w="810" w:type="dxa"/>
            <w:tcBorders>
              <w:top w:val="nil"/>
              <w:left w:val="nil"/>
              <w:bottom w:val="single" w:sz="4" w:space="0" w:color="auto"/>
              <w:right w:val="single" w:sz="4" w:space="0" w:color="auto"/>
            </w:tcBorders>
            <w:shd w:val="clear" w:color="000000" w:fill="FFFFFF"/>
            <w:noWrap/>
            <w:vAlign w:val="center"/>
          </w:tcPr>
          <w:p w14:paraId="0EF237B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37.1 </w:t>
            </w:r>
          </w:p>
        </w:tc>
        <w:tc>
          <w:tcPr>
            <w:tcW w:w="945" w:type="dxa"/>
            <w:tcBorders>
              <w:top w:val="nil"/>
              <w:left w:val="nil"/>
              <w:bottom w:val="single" w:sz="4" w:space="0" w:color="auto"/>
              <w:right w:val="single" w:sz="4" w:space="0" w:color="auto"/>
            </w:tcBorders>
            <w:shd w:val="clear" w:color="000000" w:fill="FFFFFF"/>
            <w:noWrap/>
            <w:vAlign w:val="center"/>
          </w:tcPr>
          <w:p w14:paraId="7D515CF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35.87 </w:t>
            </w:r>
          </w:p>
        </w:tc>
      </w:tr>
      <w:tr w:rsidR="00136F89" w:rsidRPr="00E822FF" w14:paraId="03B8158A"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2D99664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最大值</w:t>
            </w:r>
          </w:p>
        </w:tc>
        <w:tc>
          <w:tcPr>
            <w:tcW w:w="992" w:type="dxa"/>
            <w:tcBorders>
              <w:top w:val="nil"/>
              <w:left w:val="nil"/>
              <w:bottom w:val="single" w:sz="4" w:space="0" w:color="auto"/>
              <w:right w:val="single" w:sz="4" w:space="0" w:color="auto"/>
            </w:tcBorders>
            <w:shd w:val="clear" w:color="000000" w:fill="FFFFFF"/>
            <w:noWrap/>
            <w:vAlign w:val="center"/>
          </w:tcPr>
          <w:p w14:paraId="70F6B1D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75.84 </w:t>
            </w:r>
          </w:p>
        </w:tc>
        <w:tc>
          <w:tcPr>
            <w:tcW w:w="790" w:type="dxa"/>
            <w:tcBorders>
              <w:top w:val="nil"/>
              <w:left w:val="nil"/>
              <w:bottom w:val="single" w:sz="4" w:space="0" w:color="auto"/>
              <w:right w:val="single" w:sz="4" w:space="0" w:color="auto"/>
            </w:tcBorders>
            <w:shd w:val="clear" w:color="000000" w:fill="FFFFFF"/>
            <w:noWrap/>
            <w:vAlign w:val="center"/>
          </w:tcPr>
          <w:p w14:paraId="4312BBA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57.86 </w:t>
            </w:r>
          </w:p>
        </w:tc>
        <w:tc>
          <w:tcPr>
            <w:tcW w:w="959" w:type="dxa"/>
            <w:tcBorders>
              <w:top w:val="nil"/>
              <w:left w:val="nil"/>
              <w:bottom w:val="single" w:sz="4" w:space="0" w:color="auto"/>
              <w:right w:val="single" w:sz="4" w:space="0" w:color="auto"/>
            </w:tcBorders>
            <w:shd w:val="clear" w:color="000000" w:fill="FFFFFF"/>
            <w:noWrap/>
            <w:vAlign w:val="center"/>
          </w:tcPr>
          <w:p w14:paraId="40B621C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2514.80 </w:t>
            </w:r>
          </w:p>
        </w:tc>
        <w:tc>
          <w:tcPr>
            <w:tcW w:w="931" w:type="dxa"/>
            <w:tcBorders>
              <w:top w:val="nil"/>
              <w:left w:val="nil"/>
              <w:bottom w:val="single" w:sz="4" w:space="0" w:color="auto"/>
              <w:right w:val="single" w:sz="4" w:space="0" w:color="auto"/>
            </w:tcBorders>
            <w:shd w:val="clear" w:color="000000" w:fill="FFFFFF"/>
            <w:noWrap/>
            <w:vAlign w:val="center"/>
          </w:tcPr>
          <w:p w14:paraId="263AB1E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4350.15 </w:t>
            </w:r>
          </w:p>
        </w:tc>
        <w:tc>
          <w:tcPr>
            <w:tcW w:w="1215" w:type="dxa"/>
            <w:tcBorders>
              <w:top w:val="nil"/>
              <w:left w:val="nil"/>
              <w:bottom w:val="single" w:sz="4" w:space="0" w:color="auto"/>
              <w:right w:val="single" w:sz="4" w:space="0" w:color="auto"/>
            </w:tcBorders>
            <w:shd w:val="clear" w:color="000000" w:fill="FFFFFF"/>
            <w:noWrap/>
            <w:vAlign w:val="center"/>
          </w:tcPr>
          <w:p w14:paraId="34C79FE5"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1330.67 </w:t>
            </w:r>
          </w:p>
        </w:tc>
        <w:tc>
          <w:tcPr>
            <w:tcW w:w="1065" w:type="dxa"/>
            <w:tcBorders>
              <w:top w:val="nil"/>
              <w:left w:val="nil"/>
              <w:bottom w:val="single" w:sz="4" w:space="0" w:color="auto"/>
              <w:right w:val="single" w:sz="4" w:space="0" w:color="auto"/>
            </w:tcBorders>
            <w:shd w:val="clear" w:color="000000" w:fill="FFFFFF"/>
            <w:noWrap/>
            <w:vAlign w:val="center"/>
          </w:tcPr>
          <w:p w14:paraId="694DD7C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44621.89 </w:t>
            </w:r>
          </w:p>
        </w:tc>
        <w:tc>
          <w:tcPr>
            <w:tcW w:w="810" w:type="dxa"/>
            <w:tcBorders>
              <w:top w:val="nil"/>
              <w:left w:val="nil"/>
              <w:bottom w:val="single" w:sz="4" w:space="0" w:color="auto"/>
              <w:right w:val="single" w:sz="4" w:space="0" w:color="auto"/>
            </w:tcBorders>
            <w:shd w:val="clear" w:color="000000" w:fill="FFFFFF"/>
            <w:noWrap/>
            <w:vAlign w:val="center"/>
          </w:tcPr>
          <w:p w14:paraId="6A5BC0F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37.14 </w:t>
            </w:r>
          </w:p>
        </w:tc>
        <w:tc>
          <w:tcPr>
            <w:tcW w:w="945" w:type="dxa"/>
            <w:tcBorders>
              <w:top w:val="nil"/>
              <w:left w:val="nil"/>
              <w:bottom w:val="single" w:sz="4" w:space="0" w:color="auto"/>
              <w:right w:val="single" w:sz="4" w:space="0" w:color="auto"/>
            </w:tcBorders>
            <w:shd w:val="clear" w:color="000000" w:fill="FFFFFF"/>
            <w:noWrap/>
            <w:vAlign w:val="center"/>
          </w:tcPr>
          <w:p w14:paraId="5D077FA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37.13 </w:t>
            </w:r>
          </w:p>
        </w:tc>
      </w:tr>
      <w:tr w:rsidR="00136F89" w:rsidRPr="00E822FF" w14:paraId="3001E5A7"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481EFEA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最小值</w:t>
            </w:r>
          </w:p>
        </w:tc>
        <w:tc>
          <w:tcPr>
            <w:tcW w:w="992" w:type="dxa"/>
            <w:tcBorders>
              <w:top w:val="nil"/>
              <w:left w:val="nil"/>
              <w:bottom w:val="single" w:sz="4" w:space="0" w:color="auto"/>
              <w:right w:val="single" w:sz="4" w:space="0" w:color="auto"/>
            </w:tcBorders>
            <w:shd w:val="clear" w:color="000000" w:fill="FFFFFF"/>
            <w:noWrap/>
            <w:vAlign w:val="center"/>
          </w:tcPr>
          <w:p w14:paraId="681B9332"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74.51 </w:t>
            </w:r>
          </w:p>
        </w:tc>
        <w:tc>
          <w:tcPr>
            <w:tcW w:w="790" w:type="dxa"/>
            <w:tcBorders>
              <w:top w:val="nil"/>
              <w:left w:val="nil"/>
              <w:bottom w:val="single" w:sz="4" w:space="0" w:color="auto"/>
              <w:right w:val="single" w:sz="4" w:space="0" w:color="auto"/>
            </w:tcBorders>
            <w:shd w:val="clear" w:color="000000" w:fill="FFFFFF"/>
            <w:noWrap/>
            <w:vAlign w:val="center"/>
          </w:tcPr>
          <w:p w14:paraId="04EAD92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56.91 </w:t>
            </w:r>
          </w:p>
        </w:tc>
        <w:tc>
          <w:tcPr>
            <w:tcW w:w="959" w:type="dxa"/>
            <w:tcBorders>
              <w:top w:val="nil"/>
              <w:left w:val="nil"/>
              <w:bottom w:val="single" w:sz="4" w:space="0" w:color="auto"/>
              <w:right w:val="single" w:sz="4" w:space="0" w:color="auto"/>
            </w:tcBorders>
            <w:shd w:val="clear" w:color="000000" w:fill="FFFFFF"/>
            <w:noWrap/>
            <w:vAlign w:val="center"/>
          </w:tcPr>
          <w:p w14:paraId="40998DE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2308.75 </w:t>
            </w:r>
          </w:p>
        </w:tc>
        <w:tc>
          <w:tcPr>
            <w:tcW w:w="931" w:type="dxa"/>
            <w:tcBorders>
              <w:top w:val="nil"/>
              <w:left w:val="nil"/>
              <w:bottom w:val="single" w:sz="4" w:space="0" w:color="auto"/>
              <w:right w:val="single" w:sz="4" w:space="0" w:color="auto"/>
            </w:tcBorders>
            <w:shd w:val="clear" w:color="000000" w:fill="FFFFFF"/>
            <w:noWrap/>
            <w:vAlign w:val="center"/>
          </w:tcPr>
          <w:p w14:paraId="5DE59D8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4221.78 </w:t>
            </w:r>
          </w:p>
        </w:tc>
        <w:tc>
          <w:tcPr>
            <w:tcW w:w="1215" w:type="dxa"/>
            <w:tcBorders>
              <w:top w:val="nil"/>
              <w:left w:val="nil"/>
              <w:bottom w:val="single" w:sz="4" w:space="0" w:color="auto"/>
              <w:right w:val="single" w:sz="4" w:space="0" w:color="auto"/>
            </w:tcBorders>
            <w:shd w:val="clear" w:color="000000" w:fill="FFFFFF"/>
            <w:noWrap/>
            <w:vAlign w:val="center"/>
          </w:tcPr>
          <w:p w14:paraId="4CD81562"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1318.28 </w:t>
            </w:r>
          </w:p>
        </w:tc>
        <w:tc>
          <w:tcPr>
            <w:tcW w:w="1065" w:type="dxa"/>
            <w:tcBorders>
              <w:top w:val="nil"/>
              <w:left w:val="nil"/>
              <w:bottom w:val="single" w:sz="4" w:space="0" w:color="auto"/>
              <w:right w:val="single" w:sz="4" w:space="0" w:color="auto"/>
            </w:tcBorders>
            <w:shd w:val="clear" w:color="000000" w:fill="FFFFFF"/>
            <w:noWrap/>
            <w:vAlign w:val="center"/>
          </w:tcPr>
          <w:p w14:paraId="18B9414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42553.20 </w:t>
            </w:r>
          </w:p>
        </w:tc>
        <w:tc>
          <w:tcPr>
            <w:tcW w:w="810" w:type="dxa"/>
            <w:tcBorders>
              <w:top w:val="nil"/>
              <w:left w:val="nil"/>
              <w:bottom w:val="single" w:sz="4" w:space="0" w:color="auto"/>
              <w:right w:val="single" w:sz="4" w:space="0" w:color="auto"/>
            </w:tcBorders>
            <w:shd w:val="clear" w:color="000000" w:fill="FFFFFF"/>
            <w:noWrap/>
            <w:vAlign w:val="center"/>
          </w:tcPr>
          <w:p w14:paraId="160ABB4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35.70 </w:t>
            </w:r>
          </w:p>
        </w:tc>
        <w:tc>
          <w:tcPr>
            <w:tcW w:w="945" w:type="dxa"/>
            <w:tcBorders>
              <w:top w:val="nil"/>
              <w:left w:val="nil"/>
              <w:bottom w:val="single" w:sz="4" w:space="0" w:color="auto"/>
              <w:right w:val="single" w:sz="4" w:space="0" w:color="auto"/>
            </w:tcBorders>
            <w:shd w:val="clear" w:color="000000" w:fill="FFFFFF"/>
            <w:noWrap/>
            <w:vAlign w:val="center"/>
          </w:tcPr>
          <w:p w14:paraId="34BF7540"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35.38 </w:t>
            </w:r>
          </w:p>
        </w:tc>
      </w:tr>
      <w:tr w:rsidR="00136F89" w:rsidRPr="00E822FF" w14:paraId="299A941F"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53D4037F"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平均值</w:t>
            </w:r>
          </w:p>
        </w:tc>
        <w:tc>
          <w:tcPr>
            <w:tcW w:w="992" w:type="dxa"/>
            <w:tcBorders>
              <w:top w:val="nil"/>
              <w:left w:val="nil"/>
              <w:bottom w:val="single" w:sz="4" w:space="0" w:color="auto"/>
              <w:right w:val="single" w:sz="4" w:space="0" w:color="auto"/>
            </w:tcBorders>
            <w:shd w:val="clear" w:color="000000" w:fill="FFFFFF"/>
            <w:noWrap/>
            <w:vAlign w:val="center"/>
          </w:tcPr>
          <w:p w14:paraId="0796F21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74.96 </w:t>
            </w:r>
          </w:p>
        </w:tc>
        <w:tc>
          <w:tcPr>
            <w:tcW w:w="790" w:type="dxa"/>
            <w:tcBorders>
              <w:top w:val="nil"/>
              <w:left w:val="nil"/>
              <w:bottom w:val="single" w:sz="4" w:space="0" w:color="auto"/>
              <w:right w:val="single" w:sz="4" w:space="0" w:color="auto"/>
            </w:tcBorders>
            <w:shd w:val="clear" w:color="000000" w:fill="FFFFFF"/>
            <w:noWrap/>
            <w:vAlign w:val="center"/>
          </w:tcPr>
          <w:p w14:paraId="44D1EC6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57.46 </w:t>
            </w:r>
          </w:p>
        </w:tc>
        <w:tc>
          <w:tcPr>
            <w:tcW w:w="959" w:type="dxa"/>
            <w:tcBorders>
              <w:top w:val="nil"/>
              <w:left w:val="nil"/>
              <w:bottom w:val="single" w:sz="4" w:space="0" w:color="auto"/>
              <w:right w:val="single" w:sz="4" w:space="0" w:color="auto"/>
            </w:tcBorders>
            <w:shd w:val="clear" w:color="000000" w:fill="FFFFFF"/>
            <w:noWrap/>
            <w:vAlign w:val="center"/>
          </w:tcPr>
          <w:p w14:paraId="44668D3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2420.95 </w:t>
            </w:r>
          </w:p>
        </w:tc>
        <w:tc>
          <w:tcPr>
            <w:tcW w:w="931" w:type="dxa"/>
            <w:tcBorders>
              <w:top w:val="nil"/>
              <w:left w:val="nil"/>
              <w:bottom w:val="single" w:sz="4" w:space="0" w:color="auto"/>
              <w:right w:val="single" w:sz="4" w:space="0" w:color="auto"/>
            </w:tcBorders>
            <w:shd w:val="clear" w:color="000000" w:fill="FFFFFF"/>
            <w:noWrap/>
            <w:vAlign w:val="center"/>
          </w:tcPr>
          <w:p w14:paraId="2D4495D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4296.13 </w:t>
            </w:r>
          </w:p>
        </w:tc>
        <w:tc>
          <w:tcPr>
            <w:tcW w:w="1215" w:type="dxa"/>
            <w:tcBorders>
              <w:top w:val="nil"/>
              <w:left w:val="nil"/>
              <w:bottom w:val="single" w:sz="4" w:space="0" w:color="auto"/>
              <w:right w:val="single" w:sz="4" w:space="0" w:color="auto"/>
            </w:tcBorders>
            <w:shd w:val="clear" w:color="000000" w:fill="FFFFFF"/>
            <w:noWrap/>
            <w:vAlign w:val="center"/>
          </w:tcPr>
          <w:p w14:paraId="3B34C2D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1326.07 </w:t>
            </w:r>
          </w:p>
        </w:tc>
        <w:tc>
          <w:tcPr>
            <w:tcW w:w="1065" w:type="dxa"/>
            <w:tcBorders>
              <w:top w:val="nil"/>
              <w:left w:val="nil"/>
              <w:bottom w:val="single" w:sz="4" w:space="0" w:color="auto"/>
              <w:right w:val="single" w:sz="4" w:space="0" w:color="auto"/>
            </w:tcBorders>
            <w:shd w:val="clear" w:color="000000" w:fill="FFFFFF"/>
            <w:noWrap/>
            <w:vAlign w:val="center"/>
          </w:tcPr>
          <w:p w14:paraId="7224010E"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43747.46 </w:t>
            </w:r>
          </w:p>
        </w:tc>
        <w:tc>
          <w:tcPr>
            <w:tcW w:w="810" w:type="dxa"/>
            <w:tcBorders>
              <w:top w:val="nil"/>
              <w:left w:val="nil"/>
              <w:bottom w:val="single" w:sz="4" w:space="0" w:color="auto"/>
              <w:right w:val="single" w:sz="4" w:space="0" w:color="auto"/>
            </w:tcBorders>
            <w:shd w:val="clear" w:color="000000" w:fill="FFFFFF"/>
            <w:noWrap/>
            <w:vAlign w:val="center"/>
          </w:tcPr>
          <w:p w14:paraId="6A496A7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36.58 </w:t>
            </w:r>
          </w:p>
        </w:tc>
        <w:tc>
          <w:tcPr>
            <w:tcW w:w="945" w:type="dxa"/>
            <w:tcBorders>
              <w:top w:val="nil"/>
              <w:left w:val="nil"/>
              <w:bottom w:val="single" w:sz="4" w:space="0" w:color="auto"/>
              <w:right w:val="single" w:sz="4" w:space="0" w:color="auto"/>
            </w:tcBorders>
            <w:shd w:val="clear" w:color="000000" w:fill="FFFFFF"/>
            <w:noWrap/>
            <w:vAlign w:val="center"/>
          </w:tcPr>
          <w:p w14:paraId="1D859B11"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36.19 </w:t>
            </w:r>
          </w:p>
        </w:tc>
      </w:tr>
      <w:tr w:rsidR="00136F89" w:rsidRPr="00E822FF" w14:paraId="6AE06B05" w14:textId="77777777" w:rsidTr="00203D87">
        <w:trPr>
          <w:trHeight w:val="283"/>
          <w:jc w:val="center"/>
        </w:trPr>
        <w:tc>
          <w:tcPr>
            <w:tcW w:w="1104" w:type="dxa"/>
            <w:tcBorders>
              <w:top w:val="nil"/>
              <w:left w:val="single" w:sz="4" w:space="0" w:color="auto"/>
              <w:bottom w:val="single" w:sz="4" w:space="0" w:color="auto"/>
              <w:right w:val="single" w:sz="4" w:space="0" w:color="auto"/>
            </w:tcBorders>
            <w:shd w:val="clear" w:color="000000" w:fill="FFFFFF"/>
            <w:noWrap/>
            <w:vAlign w:val="center"/>
          </w:tcPr>
          <w:p w14:paraId="2A3144E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kern w:val="0"/>
                <w:sz w:val="21"/>
                <w:szCs w:val="21"/>
              </w:rPr>
              <w:t>相对偏差</w:t>
            </w:r>
          </w:p>
        </w:tc>
        <w:tc>
          <w:tcPr>
            <w:tcW w:w="992" w:type="dxa"/>
            <w:tcBorders>
              <w:top w:val="nil"/>
              <w:left w:val="nil"/>
              <w:bottom w:val="single" w:sz="4" w:space="0" w:color="auto"/>
              <w:right w:val="single" w:sz="4" w:space="0" w:color="auto"/>
            </w:tcBorders>
            <w:shd w:val="clear" w:color="000000" w:fill="FFFFFF"/>
            <w:noWrap/>
            <w:vAlign w:val="center"/>
          </w:tcPr>
          <w:p w14:paraId="3F2D0B04"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1.16 </w:t>
            </w:r>
          </w:p>
        </w:tc>
        <w:tc>
          <w:tcPr>
            <w:tcW w:w="790" w:type="dxa"/>
            <w:tcBorders>
              <w:top w:val="nil"/>
              <w:left w:val="nil"/>
              <w:bottom w:val="single" w:sz="4" w:space="0" w:color="auto"/>
              <w:right w:val="single" w:sz="4" w:space="0" w:color="auto"/>
            </w:tcBorders>
            <w:shd w:val="clear" w:color="000000" w:fill="FFFFFF"/>
            <w:noWrap/>
            <w:vAlign w:val="center"/>
          </w:tcPr>
          <w:p w14:paraId="3E0C5BAA"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0.95 </w:t>
            </w:r>
          </w:p>
        </w:tc>
        <w:tc>
          <w:tcPr>
            <w:tcW w:w="959" w:type="dxa"/>
            <w:tcBorders>
              <w:top w:val="nil"/>
              <w:left w:val="nil"/>
              <w:bottom w:val="single" w:sz="4" w:space="0" w:color="auto"/>
              <w:right w:val="single" w:sz="4" w:space="0" w:color="auto"/>
            </w:tcBorders>
            <w:shd w:val="clear" w:color="000000" w:fill="FFFFFF"/>
            <w:noWrap/>
            <w:vAlign w:val="center"/>
          </w:tcPr>
          <w:p w14:paraId="7B255FF9"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4.63 </w:t>
            </w:r>
          </w:p>
        </w:tc>
        <w:tc>
          <w:tcPr>
            <w:tcW w:w="931" w:type="dxa"/>
            <w:tcBorders>
              <w:top w:val="nil"/>
              <w:left w:val="nil"/>
              <w:bottom w:val="single" w:sz="4" w:space="0" w:color="auto"/>
              <w:right w:val="single" w:sz="4" w:space="0" w:color="auto"/>
            </w:tcBorders>
            <w:shd w:val="clear" w:color="000000" w:fill="FFFFFF"/>
            <w:noWrap/>
            <w:vAlign w:val="center"/>
          </w:tcPr>
          <w:p w14:paraId="63DFBDC7"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1.73 </w:t>
            </w:r>
          </w:p>
        </w:tc>
        <w:tc>
          <w:tcPr>
            <w:tcW w:w="1215" w:type="dxa"/>
            <w:tcBorders>
              <w:top w:val="nil"/>
              <w:left w:val="nil"/>
              <w:bottom w:val="single" w:sz="4" w:space="0" w:color="auto"/>
              <w:right w:val="single" w:sz="4" w:space="0" w:color="auto"/>
            </w:tcBorders>
            <w:shd w:val="clear" w:color="000000" w:fill="FFFFFF"/>
            <w:noWrap/>
            <w:vAlign w:val="center"/>
          </w:tcPr>
          <w:p w14:paraId="198071E8"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0.59 </w:t>
            </w:r>
          </w:p>
        </w:tc>
        <w:tc>
          <w:tcPr>
            <w:tcW w:w="1065" w:type="dxa"/>
            <w:tcBorders>
              <w:top w:val="nil"/>
              <w:left w:val="nil"/>
              <w:bottom w:val="single" w:sz="4" w:space="0" w:color="auto"/>
              <w:right w:val="single" w:sz="4" w:space="0" w:color="auto"/>
            </w:tcBorders>
            <w:shd w:val="clear" w:color="000000" w:fill="FFFFFF"/>
            <w:noWrap/>
            <w:vAlign w:val="center"/>
          </w:tcPr>
          <w:p w14:paraId="6F9E995C"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2.73 </w:t>
            </w:r>
          </w:p>
        </w:tc>
        <w:tc>
          <w:tcPr>
            <w:tcW w:w="810" w:type="dxa"/>
            <w:tcBorders>
              <w:top w:val="nil"/>
              <w:left w:val="nil"/>
              <w:bottom w:val="single" w:sz="4" w:space="0" w:color="auto"/>
              <w:right w:val="single" w:sz="4" w:space="0" w:color="auto"/>
            </w:tcBorders>
            <w:shd w:val="clear" w:color="000000" w:fill="FFFFFF"/>
            <w:noWrap/>
            <w:vAlign w:val="center"/>
          </w:tcPr>
          <w:p w14:paraId="326E5496"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2.40 </w:t>
            </w:r>
          </w:p>
        </w:tc>
        <w:tc>
          <w:tcPr>
            <w:tcW w:w="945" w:type="dxa"/>
            <w:tcBorders>
              <w:top w:val="nil"/>
              <w:left w:val="nil"/>
              <w:bottom w:val="single" w:sz="4" w:space="0" w:color="auto"/>
              <w:right w:val="single" w:sz="4" w:space="0" w:color="auto"/>
            </w:tcBorders>
            <w:shd w:val="clear" w:color="000000" w:fill="FFFFFF"/>
            <w:noWrap/>
            <w:vAlign w:val="center"/>
          </w:tcPr>
          <w:p w14:paraId="4DAFC333" w14:textId="77777777" w:rsidR="00136F89" w:rsidRPr="00E822FF" w:rsidRDefault="0090020D">
            <w:pPr>
              <w:snapToGrid w:val="0"/>
              <w:jc w:val="center"/>
              <w:rPr>
                <w:rFonts w:ascii="Times New Roman" w:eastAsia="仿宋" w:hAnsi="Times New Roman" w:cs="Times New Roman"/>
                <w:kern w:val="0"/>
                <w:sz w:val="21"/>
                <w:szCs w:val="21"/>
              </w:rPr>
            </w:pPr>
            <w:r w:rsidRPr="00E822FF">
              <w:rPr>
                <w:rFonts w:ascii="Times New Roman" w:eastAsia="仿宋" w:hAnsi="Times New Roman" w:cs="Times New Roman"/>
                <w:sz w:val="21"/>
                <w:szCs w:val="21"/>
              </w:rPr>
              <w:t xml:space="preserve">2.61 </w:t>
            </w:r>
          </w:p>
        </w:tc>
      </w:tr>
    </w:tbl>
    <w:bookmarkEnd w:id="6"/>
    <w:p w14:paraId="3E768372" w14:textId="77777777" w:rsidR="00136F89" w:rsidRDefault="0090020D">
      <w:pPr>
        <w:spacing w:before="240" w:line="360" w:lineRule="auto"/>
        <w:rPr>
          <w:rFonts w:ascii="黑体" w:eastAsia="黑体" w:hAnsi="黑体"/>
          <w:kern w:val="0"/>
        </w:rPr>
      </w:pPr>
      <w:r>
        <w:rPr>
          <w:rFonts w:ascii="黑体" w:eastAsia="黑体" w:hAnsi="黑体" w:hint="eastAsia"/>
          <w:kern w:val="0"/>
        </w:rPr>
        <w:t>4.2 长期稳定性</w:t>
      </w:r>
    </w:p>
    <w:p w14:paraId="56246613" w14:textId="77777777" w:rsidR="001E4F52" w:rsidRPr="001E4F52" w:rsidRDefault="001E4F52" w:rsidP="001E4F52">
      <w:pPr>
        <w:spacing w:line="360" w:lineRule="auto"/>
        <w:ind w:firstLineChars="200" w:firstLine="480"/>
        <w:rPr>
          <w:rFonts w:ascii="Times New Roman" w:hAnsi="Times New Roman" w:cs="Times New Roman"/>
        </w:rPr>
      </w:pPr>
      <w:r w:rsidRPr="001E4F52">
        <w:rPr>
          <w:rFonts w:ascii="Times New Roman" w:hAnsi="Times New Roman" w:cs="Times New Roman" w:hint="eastAsia"/>
        </w:rPr>
        <w:t>中子测井仪野外测井工作期间以及测井仪检定、短期稳定性测试、期间核查期间，采用超热中</w:t>
      </w:r>
      <w:proofErr w:type="gramStart"/>
      <w:r w:rsidRPr="001E4F52">
        <w:rPr>
          <w:rFonts w:ascii="Times New Roman" w:hAnsi="Times New Roman" w:cs="Times New Roman" w:hint="eastAsia"/>
        </w:rPr>
        <w:t>子时间谱右边界</w:t>
      </w:r>
      <w:proofErr w:type="gramEnd"/>
      <w:r w:rsidRPr="001E4F52">
        <w:rPr>
          <w:rFonts w:ascii="Times New Roman" w:hAnsi="Times New Roman" w:cs="Times New Roman" w:hint="eastAsia"/>
        </w:rPr>
        <w:t>、热中</w:t>
      </w:r>
      <w:proofErr w:type="gramStart"/>
      <w:r w:rsidRPr="001E4F52">
        <w:rPr>
          <w:rFonts w:ascii="Times New Roman" w:hAnsi="Times New Roman" w:cs="Times New Roman" w:hint="eastAsia"/>
        </w:rPr>
        <w:t>子时间谱峰位</w:t>
      </w:r>
      <w:proofErr w:type="gramEnd"/>
      <w:r w:rsidRPr="001E4F52">
        <w:rPr>
          <w:rFonts w:ascii="Times New Roman" w:hAnsi="Times New Roman" w:cs="Times New Roman" w:hint="eastAsia"/>
        </w:rPr>
        <w:t>评价中子测井仪的长期稳定性。根据中子测井仪检定数据分析，超热中子右边界（</w:t>
      </w:r>
      <w:r w:rsidRPr="001E4F52">
        <w:rPr>
          <w:rFonts w:ascii="Times New Roman" w:hAnsi="Times New Roman" w:cs="Times New Roman" w:hint="eastAsia"/>
        </w:rPr>
        <w:t>RLM</w:t>
      </w:r>
      <w:r w:rsidRPr="001E4F52">
        <w:rPr>
          <w:rFonts w:ascii="Times New Roman" w:hAnsi="Times New Roman" w:cs="Times New Roman" w:hint="eastAsia"/>
        </w:rPr>
        <w:t>）为</w:t>
      </w:r>
      <w:r w:rsidRPr="001E4F52">
        <w:rPr>
          <w:rFonts w:ascii="Times New Roman" w:hAnsi="Times New Roman" w:cs="Times New Roman" w:hint="eastAsia"/>
        </w:rPr>
        <w:t>76.94</w:t>
      </w:r>
      <w:r w:rsidRPr="001E4F52">
        <w:rPr>
          <w:rFonts w:ascii="Times New Roman" w:hAnsi="Times New Roman" w:cs="Times New Roman" w:hint="eastAsia"/>
        </w:rPr>
        <w:t>道，不同模型测量结果的相对变化在</w:t>
      </w:r>
      <w:r w:rsidRPr="001E4F52">
        <w:rPr>
          <w:rFonts w:ascii="Times New Roman" w:hAnsi="Times New Roman" w:cs="Times New Roman" w:hint="eastAsia"/>
        </w:rPr>
        <w:t>-0.05%~0.08%</w:t>
      </w:r>
      <w:r w:rsidRPr="001E4F52">
        <w:rPr>
          <w:rFonts w:ascii="Times New Roman" w:hAnsi="Times New Roman" w:cs="Times New Roman" w:hint="eastAsia"/>
        </w:rPr>
        <w:t>之间；热中子峰位（</w:t>
      </w:r>
      <w:r w:rsidRPr="001E4F52">
        <w:rPr>
          <w:rFonts w:ascii="Times New Roman" w:hAnsi="Times New Roman" w:cs="Times New Roman" w:hint="eastAsia"/>
        </w:rPr>
        <w:t>Ch</w:t>
      </w:r>
      <w:r w:rsidRPr="001E4F52">
        <w:rPr>
          <w:rFonts w:ascii="Times New Roman" w:hAnsi="Times New Roman" w:cs="Times New Roman" w:hint="eastAsia"/>
        </w:rPr>
        <w:t>）为</w:t>
      </w:r>
      <w:r w:rsidRPr="001E4F52">
        <w:rPr>
          <w:rFonts w:ascii="Times New Roman" w:hAnsi="Times New Roman" w:cs="Times New Roman" w:hint="eastAsia"/>
        </w:rPr>
        <w:t>75.42</w:t>
      </w:r>
      <w:r w:rsidRPr="001E4F52">
        <w:rPr>
          <w:rFonts w:ascii="Times New Roman" w:hAnsi="Times New Roman" w:cs="Times New Roman" w:hint="eastAsia"/>
        </w:rPr>
        <w:t>道，不同模型测量结果的相对变化在</w:t>
      </w:r>
      <w:r w:rsidRPr="001E4F52">
        <w:rPr>
          <w:rFonts w:ascii="Times New Roman" w:hAnsi="Times New Roman" w:cs="Times New Roman" w:hint="eastAsia"/>
        </w:rPr>
        <w:t>-0.61%~0.85%</w:t>
      </w:r>
      <w:r w:rsidRPr="001E4F52">
        <w:rPr>
          <w:rFonts w:ascii="Times New Roman" w:hAnsi="Times New Roman" w:cs="Times New Roman" w:hint="eastAsia"/>
        </w:rPr>
        <w:t>之间。</w:t>
      </w:r>
    </w:p>
    <w:p w14:paraId="2CE3C0E8" w14:textId="4D6CC7A2" w:rsidR="00136F89" w:rsidRDefault="001E4F52" w:rsidP="001E4F52">
      <w:pPr>
        <w:spacing w:line="360" w:lineRule="auto"/>
        <w:ind w:firstLineChars="200" w:firstLine="480"/>
        <w:rPr>
          <w:rFonts w:ascii="Times New Roman" w:hAnsi="Times New Roman" w:cs="Times New Roman"/>
        </w:rPr>
      </w:pPr>
      <w:r w:rsidRPr="001E4F52">
        <w:rPr>
          <w:rFonts w:ascii="Times New Roman" w:hAnsi="Times New Roman" w:cs="Times New Roman" w:hint="eastAsia"/>
        </w:rPr>
        <w:t>2025</w:t>
      </w:r>
      <w:r w:rsidRPr="001E4F52">
        <w:rPr>
          <w:rFonts w:ascii="Times New Roman" w:hAnsi="Times New Roman" w:cs="Times New Roman" w:hint="eastAsia"/>
        </w:rPr>
        <w:t>年</w:t>
      </w:r>
      <w:r w:rsidRPr="001E4F52">
        <w:rPr>
          <w:rFonts w:ascii="Times New Roman" w:hAnsi="Times New Roman" w:cs="Times New Roman" w:hint="eastAsia"/>
        </w:rPr>
        <w:t>2</w:t>
      </w:r>
      <w:r w:rsidRPr="001E4F52">
        <w:rPr>
          <w:rFonts w:ascii="Times New Roman" w:hAnsi="Times New Roman" w:cs="Times New Roman" w:hint="eastAsia"/>
        </w:rPr>
        <w:t>月</w:t>
      </w:r>
      <w:r w:rsidRPr="001E4F52">
        <w:rPr>
          <w:rFonts w:ascii="Times New Roman" w:hAnsi="Times New Roman" w:cs="Times New Roman" w:hint="eastAsia"/>
        </w:rPr>
        <w:t>21</w:t>
      </w:r>
      <w:r w:rsidRPr="001E4F52">
        <w:rPr>
          <w:rFonts w:ascii="Times New Roman" w:hAnsi="Times New Roman" w:cs="Times New Roman" w:hint="eastAsia"/>
        </w:rPr>
        <w:t>日至</w:t>
      </w:r>
      <w:r w:rsidRPr="001E4F52">
        <w:rPr>
          <w:rFonts w:ascii="Times New Roman" w:hAnsi="Times New Roman" w:cs="Times New Roman" w:hint="eastAsia"/>
        </w:rPr>
        <w:t>10</w:t>
      </w:r>
      <w:r w:rsidRPr="001E4F52">
        <w:rPr>
          <w:rFonts w:ascii="Times New Roman" w:hAnsi="Times New Roman" w:cs="Times New Roman" w:hint="eastAsia"/>
        </w:rPr>
        <w:t>月</w:t>
      </w:r>
      <w:r w:rsidRPr="001E4F52">
        <w:rPr>
          <w:rFonts w:ascii="Times New Roman" w:hAnsi="Times New Roman" w:cs="Times New Roman" w:hint="eastAsia"/>
        </w:rPr>
        <w:t>19</w:t>
      </w:r>
      <w:r w:rsidRPr="001E4F52">
        <w:rPr>
          <w:rFonts w:ascii="Times New Roman" w:hAnsi="Times New Roman" w:cs="Times New Roman" w:hint="eastAsia"/>
        </w:rPr>
        <w:t>日，中子测井仪工作期间所测到的</w:t>
      </w:r>
      <w:r w:rsidRPr="001E4F52">
        <w:rPr>
          <w:rFonts w:ascii="Times New Roman" w:hAnsi="Times New Roman" w:cs="Times New Roman" w:hint="eastAsia"/>
        </w:rPr>
        <w:t>44</w:t>
      </w:r>
      <w:r w:rsidRPr="001E4F52">
        <w:rPr>
          <w:rFonts w:ascii="Times New Roman" w:hAnsi="Times New Roman" w:cs="Times New Roman" w:hint="eastAsia"/>
        </w:rPr>
        <w:t>次中子测量平均谱，其超热中子右边界在</w:t>
      </w:r>
      <w:r w:rsidRPr="001E4F52">
        <w:rPr>
          <w:rFonts w:ascii="Times New Roman" w:hAnsi="Times New Roman" w:cs="Times New Roman" w:hint="eastAsia"/>
        </w:rPr>
        <w:t>76.27~77.00</w:t>
      </w:r>
      <w:r w:rsidRPr="001E4F52">
        <w:rPr>
          <w:rFonts w:ascii="Times New Roman" w:hAnsi="Times New Roman" w:cs="Times New Roman" w:hint="eastAsia"/>
        </w:rPr>
        <w:t>道，相对测井仪检定状态的变化在</w:t>
      </w:r>
      <w:r w:rsidRPr="001E4F52">
        <w:rPr>
          <w:rFonts w:ascii="Times New Roman" w:hAnsi="Times New Roman" w:cs="Times New Roman" w:hint="eastAsia"/>
        </w:rPr>
        <w:t>-0.87%~0.08%</w:t>
      </w:r>
      <w:r w:rsidRPr="001E4F52">
        <w:rPr>
          <w:rFonts w:ascii="Times New Roman" w:hAnsi="Times New Roman" w:cs="Times New Roman" w:hint="eastAsia"/>
        </w:rPr>
        <w:t>；热中子峰位在</w:t>
      </w:r>
      <w:r w:rsidRPr="001E4F52">
        <w:rPr>
          <w:rFonts w:ascii="Times New Roman" w:hAnsi="Times New Roman" w:cs="Times New Roman" w:hint="eastAsia"/>
        </w:rPr>
        <w:t>74.00~76.06</w:t>
      </w:r>
      <w:r w:rsidRPr="001E4F52">
        <w:rPr>
          <w:rFonts w:ascii="Times New Roman" w:hAnsi="Times New Roman" w:cs="Times New Roman" w:hint="eastAsia"/>
        </w:rPr>
        <w:t>道，相对测井仪检定状态的变化在</w:t>
      </w:r>
      <w:r w:rsidRPr="001E4F52">
        <w:rPr>
          <w:rFonts w:ascii="Times New Roman" w:hAnsi="Times New Roman" w:cs="Times New Roman" w:hint="eastAsia"/>
        </w:rPr>
        <w:t>-1.88%~0.85%</w:t>
      </w:r>
      <w:r w:rsidRPr="001E4F52">
        <w:rPr>
          <w:rFonts w:ascii="Times New Roman" w:hAnsi="Times New Roman" w:cs="Times New Roman" w:hint="eastAsia"/>
        </w:rPr>
        <w:t>，</w:t>
      </w:r>
      <w:r w:rsidR="0090020D">
        <w:rPr>
          <w:rFonts w:ascii="Times New Roman" w:hAnsi="Times New Roman" w:cs="Times New Roman"/>
        </w:rPr>
        <w:t>见</w:t>
      </w:r>
      <w:r w:rsidR="0090020D">
        <w:rPr>
          <w:rFonts w:ascii="Times New Roman" w:hAnsi="Times New Roman" w:cs="Times New Roman"/>
        </w:rPr>
        <w:fldChar w:fldCharType="begin"/>
      </w:r>
      <w:r w:rsidR="0090020D">
        <w:rPr>
          <w:rFonts w:ascii="Times New Roman" w:hAnsi="Times New Roman" w:cs="Times New Roman"/>
        </w:rPr>
        <w:instrText xml:space="preserve"> REF _Ref17078 \h </w:instrText>
      </w:r>
      <w:r w:rsidR="0090020D">
        <w:rPr>
          <w:rFonts w:ascii="Times New Roman" w:hAnsi="Times New Roman" w:cs="Times New Roman"/>
        </w:rPr>
      </w:r>
      <w:r w:rsidR="0090020D">
        <w:rPr>
          <w:rFonts w:ascii="Times New Roman" w:hAnsi="Times New Roman" w:cs="Times New Roman"/>
        </w:rPr>
        <w:fldChar w:fldCharType="separate"/>
      </w:r>
      <w:r w:rsidR="0090020D">
        <w:rPr>
          <w:rFonts w:ascii="Times New Roman" w:hAnsi="Times New Roman" w:cs="Times New Roman"/>
        </w:rPr>
        <w:t>图</w:t>
      </w:r>
      <w:r w:rsidR="0090020D">
        <w:rPr>
          <w:rFonts w:ascii="Times New Roman" w:hAnsi="Times New Roman" w:cs="Times New Roman"/>
        </w:rPr>
        <w:t>4</w:t>
      </w:r>
      <w:r w:rsidR="0090020D">
        <w:rPr>
          <w:rFonts w:ascii="Times New Roman" w:hAnsi="Times New Roman" w:cs="Times New Roman" w:hint="eastAsia"/>
        </w:rPr>
        <w:t>-</w:t>
      </w:r>
      <w:r w:rsidR="0090020D">
        <w:rPr>
          <w:rFonts w:ascii="Times New Roman" w:hAnsi="Times New Roman" w:cs="Times New Roman"/>
        </w:rPr>
        <w:t>1</w:t>
      </w:r>
      <w:r w:rsidR="0090020D">
        <w:rPr>
          <w:rFonts w:ascii="Times New Roman" w:hAnsi="Times New Roman" w:cs="Times New Roman"/>
        </w:rPr>
        <w:fldChar w:fldCharType="end"/>
      </w:r>
      <w:r w:rsidR="0090020D">
        <w:rPr>
          <w:rFonts w:ascii="Times New Roman" w:hAnsi="Times New Roman" w:cs="Times New Roman"/>
        </w:rPr>
        <w:t>。</w:t>
      </w:r>
    </w:p>
    <w:p w14:paraId="3286BEB8" w14:textId="6E7EC7F9" w:rsidR="001E4F52" w:rsidRDefault="001E4F52" w:rsidP="001E4F52">
      <w:pPr>
        <w:spacing w:line="360" w:lineRule="auto"/>
        <w:ind w:firstLineChars="200" w:firstLine="480"/>
        <w:rPr>
          <w:rFonts w:ascii="Times New Roman" w:hAnsi="Times New Roman" w:cs="Times New Roman"/>
        </w:rPr>
      </w:pPr>
      <w:r w:rsidRPr="001E4F52">
        <w:rPr>
          <w:rFonts w:ascii="Times New Roman" w:hAnsi="Times New Roman" w:cs="Times New Roman" w:hint="eastAsia"/>
        </w:rPr>
        <w:lastRenderedPageBreak/>
        <w:t>根据超热中子右边界及热中子峰位变化情况判定，中子测井仪工作时间</w:t>
      </w:r>
      <w:proofErr w:type="gramStart"/>
      <w:r w:rsidRPr="001E4F52">
        <w:rPr>
          <w:rFonts w:ascii="Times New Roman" w:hAnsi="Times New Roman" w:cs="Times New Roman" w:hint="eastAsia"/>
        </w:rPr>
        <w:t>戳处于</w:t>
      </w:r>
      <w:proofErr w:type="gramEnd"/>
      <w:r w:rsidRPr="001E4F52">
        <w:rPr>
          <w:rFonts w:ascii="Times New Roman" w:hAnsi="Times New Roman" w:cs="Times New Roman" w:hint="eastAsia"/>
        </w:rPr>
        <w:t>长期稳定状态，相对变化不超过</w:t>
      </w:r>
      <w:r>
        <w:rPr>
          <w:rFonts w:ascii="Times New Roman" w:hAnsi="Times New Roman" w:cs="Times New Roman" w:hint="eastAsia"/>
        </w:rPr>
        <w:t>2</w:t>
      </w:r>
      <w:r w:rsidRPr="001E4F52">
        <w:rPr>
          <w:rFonts w:ascii="Times New Roman" w:hAnsi="Times New Roman" w:cs="Times New Roman" w:hint="eastAsia"/>
        </w:rPr>
        <w:t>%</w:t>
      </w:r>
      <w:r w:rsidRPr="001E4F52">
        <w:rPr>
          <w:rFonts w:ascii="Times New Roman" w:hAnsi="Times New Roman" w:cs="Times New Roman" w:hint="eastAsia"/>
        </w:rPr>
        <w:t>，满足中子测井规范要求。</w:t>
      </w:r>
    </w:p>
    <w:p w14:paraId="386C5DF9" w14:textId="1F6AF786" w:rsidR="00136F89" w:rsidRDefault="001E4F52">
      <w:pPr>
        <w:keepNext/>
        <w:spacing w:line="360" w:lineRule="auto"/>
        <w:jc w:val="center"/>
        <w:rPr>
          <w:rFonts w:eastAsia="仿宋"/>
          <w:color w:val="000000"/>
          <w:sz w:val="21"/>
        </w:rPr>
      </w:pPr>
      <w:r>
        <w:rPr>
          <w:rFonts w:eastAsia="仿宋"/>
          <w:noProof/>
          <w:sz w:val="21"/>
          <w:szCs w:val="21"/>
        </w:rPr>
        <w:drawing>
          <wp:inline distT="0" distB="0" distL="0" distR="0" wp14:anchorId="5E374902" wp14:editId="65A68F38">
            <wp:extent cx="4719600" cy="1980000"/>
            <wp:effectExtent l="0" t="0" r="5080" b="1270"/>
            <wp:docPr id="10509052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19600" cy="1980000"/>
                    </a:xfrm>
                    <a:prstGeom prst="rect">
                      <a:avLst/>
                    </a:prstGeom>
                    <a:noFill/>
                  </pic:spPr>
                </pic:pic>
              </a:graphicData>
            </a:graphic>
          </wp:inline>
        </w:drawing>
      </w:r>
    </w:p>
    <w:p w14:paraId="305DDD32" w14:textId="77777777" w:rsidR="00136F89" w:rsidRDefault="0090020D">
      <w:pPr>
        <w:spacing w:line="360" w:lineRule="auto"/>
        <w:jc w:val="center"/>
        <w:rPr>
          <w:rFonts w:eastAsia="仿宋"/>
          <w:color w:val="000000"/>
          <w:sz w:val="21"/>
        </w:rPr>
      </w:pPr>
      <w:bookmarkStart w:id="7" w:name="_Ref17078"/>
      <w:r>
        <w:rPr>
          <w:rFonts w:eastAsia="仿宋"/>
          <w:color w:val="000000"/>
          <w:sz w:val="21"/>
        </w:rPr>
        <w:t>图</w:t>
      </w:r>
      <w:r>
        <w:rPr>
          <w:rFonts w:eastAsia="仿宋"/>
          <w:color w:val="000000"/>
          <w:sz w:val="21"/>
        </w:rPr>
        <w:t>4-</w:t>
      </w:r>
      <w:r>
        <w:rPr>
          <w:rFonts w:eastAsia="仿宋"/>
          <w:color w:val="000000"/>
          <w:sz w:val="21"/>
        </w:rPr>
        <w:fldChar w:fldCharType="begin"/>
      </w:r>
      <w:r>
        <w:rPr>
          <w:rFonts w:eastAsia="仿宋"/>
          <w:color w:val="000000"/>
          <w:sz w:val="21"/>
        </w:rPr>
        <w:instrText xml:space="preserve"> SEQ </w:instrText>
      </w:r>
      <w:r>
        <w:rPr>
          <w:rFonts w:eastAsia="仿宋"/>
          <w:color w:val="000000"/>
          <w:sz w:val="21"/>
        </w:rPr>
        <w:instrText>图</w:instrText>
      </w:r>
      <w:r>
        <w:rPr>
          <w:rFonts w:eastAsia="仿宋"/>
          <w:color w:val="000000"/>
          <w:sz w:val="21"/>
        </w:rPr>
        <w:instrText xml:space="preserve">4- \* ARABIC </w:instrText>
      </w:r>
      <w:r>
        <w:rPr>
          <w:rFonts w:eastAsia="仿宋"/>
          <w:color w:val="000000"/>
          <w:sz w:val="21"/>
        </w:rPr>
        <w:fldChar w:fldCharType="separate"/>
      </w:r>
      <w:r>
        <w:rPr>
          <w:rFonts w:eastAsia="仿宋"/>
          <w:color w:val="000000"/>
          <w:sz w:val="21"/>
        </w:rPr>
        <w:t>1</w:t>
      </w:r>
      <w:r>
        <w:rPr>
          <w:rFonts w:eastAsia="仿宋"/>
          <w:color w:val="000000"/>
          <w:sz w:val="21"/>
        </w:rPr>
        <w:fldChar w:fldCharType="end"/>
      </w:r>
      <w:bookmarkEnd w:id="7"/>
      <w:r>
        <w:rPr>
          <w:rFonts w:eastAsia="仿宋" w:hint="eastAsia"/>
          <w:color w:val="000000"/>
          <w:sz w:val="21"/>
        </w:rPr>
        <w:t xml:space="preserve"> </w:t>
      </w:r>
      <w:r>
        <w:rPr>
          <w:rFonts w:eastAsia="仿宋"/>
          <w:color w:val="000000"/>
          <w:sz w:val="21"/>
        </w:rPr>
        <w:t>中子时间谱特征参数随测井时间的变化情况</w:t>
      </w:r>
    </w:p>
    <w:p w14:paraId="78C9F044" w14:textId="77777777" w:rsidR="00136F89" w:rsidRDefault="0090020D">
      <w:pPr>
        <w:spacing w:before="240" w:line="360" w:lineRule="auto"/>
        <w:rPr>
          <w:rFonts w:ascii="黑体" w:eastAsia="黑体" w:hAnsi="黑体"/>
          <w:kern w:val="0"/>
        </w:rPr>
      </w:pPr>
      <w:r>
        <w:rPr>
          <w:rFonts w:ascii="黑体" w:eastAsia="黑体" w:hAnsi="黑体" w:hint="eastAsia"/>
          <w:kern w:val="0"/>
        </w:rPr>
        <w:t>4.3 准确性检查</w:t>
      </w:r>
    </w:p>
    <w:p w14:paraId="761355E3"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2025</w:t>
      </w:r>
      <w:r>
        <w:rPr>
          <w:rFonts w:ascii="Times New Roman" w:hAnsi="Times New Roman" w:cs="Times New Roman"/>
        </w:rPr>
        <w:t>年</w:t>
      </w:r>
      <w:r>
        <w:rPr>
          <w:rFonts w:ascii="Times New Roman" w:hAnsi="Times New Roman" w:cs="Times New Roman"/>
        </w:rPr>
        <w:t>6</w:t>
      </w:r>
      <w:r>
        <w:rPr>
          <w:rFonts w:ascii="Times New Roman" w:hAnsi="Times New Roman" w:cs="Times New Roman"/>
        </w:rPr>
        <w:t>月</w:t>
      </w:r>
      <w:r>
        <w:rPr>
          <w:rFonts w:ascii="Times New Roman" w:hAnsi="Times New Roman" w:cs="Times New Roman"/>
        </w:rPr>
        <w:t>14</w:t>
      </w:r>
      <w:r>
        <w:rPr>
          <w:rFonts w:ascii="Times New Roman" w:hAnsi="Times New Roman" w:cs="Times New Roman"/>
        </w:rPr>
        <w:t>日和</w:t>
      </w:r>
      <w:r>
        <w:rPr>
          <w:rFonts w:ascii="Times New Roman" w:hAnsi="Times New Roman" w:cs="Times New Roman"/>
        </w:rPr>
        <w:t>9</w:t>
      </w:r>
      <w:r>
        <w:rPr>
          <w:rFonts w:ascii="Times New Roman" w:hAnsi="Times New Roman" w:cs="Times New Roman"/>
        </w:rPr>
        <w:t>月</w:t>
      </w:r>
      <w:r>
        <w:rPr>
          <w:rFonts w:ascii="Times New Roman" w:hAnsi="Times New Roman" w:cs="Times New Roman"/>
        </w:rPr>
        <w:t>3</w:t>
      </w:r>
      <w:r>
        <w:rPr>
          <w:rFonts w:ascii="Times New Roman" w:hAnsi="Times New Roman" w:cs="Times New Roman"/>
        </w:rPr>
        <w:t>日，使用</w:t>
      </w:r>
      <w:r>
        <w:rPr>
          <w:rFonts w:ascii="Times New Roman" w:hAnsi="Times New Roman" w:cs="Times New Roman"/>
        </w:rPr>
        <w:t>Nu-3</w:t>
      </w:r>
      <w:r>
        <w:rPr>
          <w:rFonts w:ascii="Times New Roman" w:hAnsi="Times New Roman" w:cs="Times New Roman"/>
        </w:rPr>
        <w:t>裂变中子测井模型开展了中子测井仪期间核查，核查方法与中子测井仪检定方法一致。与首次检定（</w:t>
      </w:r>
      <w:r>
        <w:rPr>
          <w:rFonts w:ascii="Times New Roman" w:hAnsi="Times New Roman" w:cs="Times New Roman"/>
        </w:rPr>
        <w:t>2025</w:t>
      </w:r>
      <w:r>
        <w:rPr>
          <w:rFonts w:ascii="Times New Roman" w:hAnsi="Times New Roman" w:cs="Times New Roman"/>
        </w:rPr>
        <w:t>年</w:t>
      </w:r>
      <w:r>
        <w:rPr>
          <w:rFonts w:ascii="Times New Roman" w:hAnsi="Times New Roman" w:cs="Times New Roman"/>
        </w:rPr>
        <w:t>2</w:t>
      </w:r>
      <w:r>
        <w:rPr>
          <w:rFonts w:ascii="Times New Roman" w:hAnsi="Times New Roman" w:cs="Times New Roman"/>
        </w:rPr>
        <w:t>月</w:t>
      </w:r>
      <w:r>
        <w:rPr>
          <w:rFonts w:ascii="Times New Roman" w:hAnsi="Times New Roman" w:cs="Times New Roman"/>
        </w:rPr>
        <w:t>21</w:t>
      </w:r>
      <w:r>
        <w:rPr>
          <w:rFonts w:ascii="Times New Roman" w:hAnsi="Times New Roman" w:cs="Times New Roman"/>
        </w:rPr>
        <w:t>日）结果相比，铀含量灵敏度变化</w:t>
      </w:r>
      <w:r>
        <w:rPr>
          <w:rFonts w:ascii="Times New Roman" w:hAnsi="Times New Roman" w:cs="Times New Roman"/>
        </w:rPr>
        <w:t>-4.9%</w:t>
      </w:r>
      <w:r>
        <w:rPr>
          <w:rFonts w:ascii="Times New Roman" w:hAnsi="Times New Roman" w:cs="Times New Roman"/>
        </w:rPr>
        <w:t>，扩展不确定度均为</w:t>
      </w:r>
      <w:r>
        <w:rPr>
          <w:rFonts w:ascii="Times New Roman" w:hAnsi="Times New Roman" w:cs="Times New Roman"/>
        </w:rPr>
        <w:t>9%</w:t>
      </w:r>
      <w:r>
        <w:rPr>
          <w:rFonts w:ascii="Times New Roman" w:hAnsi="Times New Roman" w:cs="Times New Roman"/>
        </w:rPr>
        <w:t>（</w:t>
      </w:r>
      <w:r>
        <w:rPr>
          <w:rFonts w:ascii="Times New Roman" w:hAnsi="Times New Roman" w:cs="Times New Roman"/>
        </w:rPr>
        <w:t>k=2</w:t>
      </w:r>
      <w:r>
        <w:rPr>
          <w:rFonts w:ascii="Times New Roman" w:hAnsi="Times New Roman" w:cs="Times New Roman"/>
        </w:rPr>
        <w:t>），相对示值误差在</w:t>
      </w:r>
      <w:r>
        <w:rPr>
          <w:rFonts w:ascii="Times New Roman" w:hAnsi="Times New Roman" w:cs="Times New Roman"/>
        </w:rPr>
        <w:t>1.2%</w:t>
      </w:r>
      <w:r>
        <w:rPr>
          <w:rFonts w:ascii="Times New Roman" w:hAnsi="Times New Roman" w:cs="Times New Roman"/>
        </w:rPr>
        <w:t>以内，非线性在</w:t>
      </w:r>
      <w:r>
        <w:rPr>
          <w:rFonts w:ascii="Times New Roman" w:hAnsi="Times New Roman" w:cs="Times New Roman"/>
        </w:rPr>
        <w:t>2.7%</w:t>
      </w:r>
      <w:r>
        <w:rPr>
          <w:rFonts w:ascii="Times New Roman" w:hAnsi="Times New Roman" w:cs="Times New Roman"/>
        </w:rPr>
        <w:t>以内，重复性在</w:t>
      </w:r>
      <w:r>
        <w:rPr>
          <w:rFonts w:ascii="Times New Roman" w:hAnsi="Times New Roman" w:cs="Times New Roman"/>
        </w:rPr>
        <w:t>3.9%</w:t>
      </w:r>
      <w:r>
        <w:rPr>
          <w:rFonts w:ascii="Times New Roman" w:hAnsi="Times New Roman" w:cs="Times New Roman"/>
        </w:rPr>
        <w:t>以内，见</w:t>
      </w:r>
      <w:r>
        <w:rPr>
          <w:rFonts w:ascii="Times New Roman" w:hAnsi="Times New Roman" w:cs="Times New Roman"/>
        </w:rPr>
        <w:fldChar w:fldCharType="begin"/>
      </w:r>
      <w:r>
        <w:rPr>
          <w:rFonts w:ascii="Times New Roman" w:hAnsi="Times New Roman" w:cs="Times New Roman"/>
        </w:rPr>
        <w:instrText xml:space="preserve"> REF _Ref213227688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表</w:t>
      </w:r>
      <w:r>
        <w:rPr>
          <w:rFonts w:ascii="Times New Roman" w:hAnsi="Times New Roman" w:cs="Times New Roman"/>
        </w:rPr>
        <w:t>6</w:t>
      </w:r>
      <w:r>
        <w:rPr>
          <w:rFonts w:ascii="Times New Roman" w:hAnsi="Times New Roman" w:cs="Times New Roman"/>
        </w:rPr>
        <w:noBreakHyphen/>
        <w:t>3</w:t>
      </w:r>
      <w:r>
        <w:rPr>
          <w:rFonts w:ascii="Times New Roman" w:hAnsi="Times New Roman" w:cs="Times New Roman"/>
        </w:rPr>
        <w:fldChar w:fldCharType="end"/>
      </w:r>
      <w:r>
        <w:rPr>
          <w:rFonts w:ascii="Times New Roman" w:hAnsi="Times New Roman" w:cs="Times New Roman"/>
        </w:rPr>
        <w:t>。铀含量灵敏度的变化与中子管使用寿命有关，随着中子</w:t>
      </w:r>
      <w:proofErr w:type="gramStart"/>
      <w:r>
        <w:rPr>
          <w:rFonts w:ascii="Times New Roman" w:hAnsi="Times New Roman" w:cs="Times New Roman"/>
        </w:rPr>
        <w:t>管使用</w:t>
      </w:r>
      <w:proofErr w:type="gramEnd"/>
      <w:r>
        <w:rPr>
          <w:rFonts w:ascii="Times New Roman" w:hAnsi="Times New Roman" w:cs="Times New Roman"/>
        </w:rPr>
        <w:t>时间的增加，中子通量本身在不断减少，导致了铀含量灵敏度的降低。因此中子测井需要对超热中子计数率进行通量修正。</w:t>
      </w:r>
    </w:p>
    <w:p w14:paraId="5ED2E8F6"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中子测井仪的相对示值误差均在</w:t>
      </w:r>
      <w:r>
        <w:rPr>
          <w:rFonts w:ascii="Times New Roman" w:hAnsi="Times New Roman" w:cs="Times New Roman"/>
        </w:rPr>
        <w:t>2%</w:t>
      </w:r>
      <w:r>
        <w:rPr>
          <w:rFonts w:ascii="Times New Roman" w:hAnsi="Times New Roman" w:cs="Times New Roman"/>
        </w:rPr>
        <w:t>以内，满足中子测井规范要求。</w:t>
      </w:r>
    </w:p>
    <w:p w14:paraId="796B2A13" w14:textId="77777777" w:rsidR="00A80D47" w:rsidRDefault="00A80D47">
      <w:pPr>
        <w:spacing w:line="360" w:lineRule="auto"/>
        <w:ind w:firstLineChars="200" w:firstLine="480"/>
        <w:rPr>
          <w:rFonts w:ascii="Times New Roman" w:hAnsi="Times New Roman" w:cs="Times New Roman"/>
        </w:rPr>
      </w:pPr>
    </w:p>
    <w:p w14:paraId="5C401D2D" w14:textId="77777777" w:rsidR="00136F89" w:rsidRDefault="0090020D">
      <w:pPr>
        <w:keepNext/>
        <w:spacing w:line="360" w:lineRule="auto"/>
        <w:jc w:val="center"/>
      </w:pPr>
      <w:r>
        <w:rPr>
          <w:rFonts w:ascii="Times New Roman" w:eastAsia="黑体" w:hAnsi="Times New Roman" w:cs="Times New Roman"/>
          <w:kern w:val="0"/>
          <w:sz w:val="21"/>
          <w:szCs w:val="21"/>
        </w:rPr>
        <w:t>表</w:t>
      </w:r>
      <w:r>
        <w:rPr>
          <w:rFonts w:ascii="Times New Roman" w:eastAsia="黑体" w:hAnsi="Times New Roman" w:cs="Times New Roman"/>
          <w:kern w:val="0"/>
          <w:sz w:val="21"/>
          <w:szCs w:val="21"/>
        </w:rPr>
        <w:t>4-</w:t>
      </w:r>
      <w:r>
        <w:rPr>
          <w:rFonts w:ascii="Times New Roman" w:eastAsia="黑体" w:hAnsi="Times New Roman" w:cs="Times New Roman"/>
          <w:kern w:val="0"/>
          <w:sz w:val="21"/>
          <w:szCs w:val="21"/>
        </w:rPr>
        <w:fldChar w:fldCharType="begin"/>
      </w:r>
      <w:r>
        <w:rPr>
          <w:rFonts w:ascii="Times New Roman" w:eastAsia="黑体" w:hAnsi="Times New Roman" w:cs="Times New Roman"/>
          <w:kern w:val="0"/>
          <w:sz w:val="21"/>
          <w:szCs w:val="21"/>
        </w:rPr>
        <w:instrText xml:space="preserve"> SEQ </w:instrText>
      </w:r>
      <w:r>
        <w:rPr>
          <w:rFonts w:ascii="Times New Roman" w:eastAsia="黑体" w:hAnsi="Times New Roman" w:cs="Times New Roman"/>
          <w:kern w:val="0"/>
          <w:sz w:val="21"/>
          <w:szCs w:val="21"/>
        </w:rPr>
        <w:instrText>表</w:instrText>
      </w:r>
      <w:r>
        <w:rPr>
          <w:rFonts w:ascii="Times New Roman" w:eastAsia="黑体" w:hAnsi="Times New Roman" w:cs="Times New Roman"/>
          <w:kern w:val="0"/>
          <w:sz w:val="21"/>
          <w:szCs w:val="21"/>
        </w:rPr>
        <w:instrText xml:space="preserve">4- \* ARABIC </w:instrText>
      </w:r>
      <w:r>
        <w:rPr>
          <w:rFonts w:ascii="Times New Roman" w:eastAsia="黑体" w:hAnsi="Times New Roman" w:cs="Times New Roman"/>
          <w:kern w:val="0"/>
          <w:sz w:val="21"/>
          <w:szCs w:val="21"/>
        </w:rPr>
        <w:fldChar w:fldCharType="separate"/>
      </w:r>
      <w:r>
        <w:rPr>
          <w:rFonts w:ascii="Times New Roman" w:eastAsia="黑体" w:hAnsi="Times New Roman" w:cs="Times New Roman"/>
          <w:kern w:val="0"/>
          <w:sz w:val="21"/>
          <w:szCs w:val="21"/>
        </w:rPr>
        <w:t>3</w:t>
      </w:r>
      <w:r>
        <w:rPr>
          <w:rFonts w:ascii="Times New Roman" w:eastAsia="黑体" w:hAnsi="Times New Roman" w:cs="Times New Roman"/>
          <w:kern w:val="0"/>
          <w:sz w:val="21"/>
          <w:szCs w:val="21"/>
        </w:rPr>
        <w:fldChar w:fldCharType="end"/>
      </w:r>
      <w:r>
        <w:rPr>
          <w:rFonts w:ascii="Times New Roman" w:eastAsia="黑体" w:hAnsi="Times New Roman" w:cs="Times New Roman"/>
          <w:kern w:val="0"/>
          <w:sz w:val="21"/>
          <w:szCs w:val="21"/>
        </w:rPr>
        <w:t xml:space="preserve"> </w:t>
      </w:r>
      <w:r>
        <w:rPr>
          <w:rFonts w:ascii="Times New Roman" w:eastAsia="黑体" w:hAnsi="Times New Roman" w:cs="Times New Roman" w:hint="eastAsia"/>
          <w:kern w:val="0"/>
          <w:sz w:val="21"/>
          <w:szCs w:val="21"/>
        </w:rPr>
        <w:t xml:space="preserve"> </w:t>
      </w:r>
      <w:r>
        <w:rPr>
          <w:rFonts w:ascii="Times New Roman" w:eastAsia="黑体" w:hAnsi="Times New Roman" w:cs="Times New Roman"/>
          <w:kern w:val="0"/>
          <w:sz w:val="21"/>
          <w:szCs w:val="21"/>
        </w:rPr>
        <w:t>中子测井仪期间核查结果</w:t>
      </w:r>
    </w:p>
    <w:tbl>
      <w:tblPr>
        <w:tblStyle w:val="af2"/>
        <w:tblW w:w="0" w:type="auto"/>
        <w:jc w:val="center"/>
        <w:tblLook w:val="04A0" w:firstRow="1" w:lastRow="0" w:firstColumn="1" w:lastColumn="0" w:noHBand="0" w:noVBand="1"/>
      </w:tblPr>
      <w:tblGrid>
        <w:gridCol w:w="1696"/>
        <w:gridCol w:w="1423"/>
        <w:gridCol w:w="1412"/>
        <w:gridCol w:w="1418"/>
        <w:gridCol w:w="998"/>
        <w:gridCol w:w="1134"/>
      </w:tblGrid>
      <w:tr w:rsidR="00136F89" w:rsidRPr="00255322" w14:paraId="0AEFA900" w14:textId="77777777" w:rsidTr="00A80D47">
        <w:trPr>
          <w:trHeight w:val="283"/>
          <w:jc w:val="center"/>
        </w:trPr>
        <w:tc>
          <w:tcPr>
            <w:tcW w:w="1696" w:type="dxa"/>
            <w:vAlign w:val="center"/>
          </w:tcPr>
          <w:p w14:paraId="22AC3233"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内容</w:t>
            </w:r>
          </w:p>
        </w:tc>
        <w:tc>
          <w:tcPr>
            <w:tcW w:w="1423" w:type="dxa"/>
            <w:vAlign w:val="center"/>
          </w:tcPr>
          <w:p w14:paraId="430E82C1"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铀含量灵敏度</w:t>
            </w:r>
            <w:r w:rsidRPr="00255322">
              <w:rPr>
                <w:rFonts w:ascii="Times New Roman" w:eastAsia="仿宋" w:hAnsi="Times New Roman" w:cs="Times New Roman"/>
                <w:color w:val="000000"/>
                <w:kern w:val="0"/>
                <w:sz w:val="21"/>
                <w:szCs w:val="21"/>
              </w:rPr>
              <w:t>(s</w:t>
            </w:r>
            <w:r w:rsidRPr="00255322">
              <w:rPr>
                <w:rFonts w:ascii="Times New Roman" w:eastAsia="仿宋" w:hAnsi="Times New Roman" w:cs="Times New Roman"/>
                <w:color w:val="000000"/>
                <w:kern w:val="0"/>
                <w:sz w:val="21"/>
                <w:szCs w:val="21"/>
                <w:vertAlign w:val="superscript"/>
              </w:rPr>
              <w:t>-1</w:t>
            </w:r>
            <w:r w:rsidRPr="00255322">
              <w:rPr>
                <w:rFonts w:ascii="Times New Roman" w:eastAsia="仿宋" w:hAnsi="Times New Roman" w:cs="Times New Roman"/>
                <w:color w:val="000000"/>
                <w:kern w:val="0"/>
                <w:sz w:val="21"/>
                <w:szCs w:val="21"/>
              </w:rPr>
              <w:t>/0.01%)</w:t>
            </w:r>
          </w:p>
        </w:tc>
        <w:tc>
          <w:tcPr>
            <w:tcW w:w="1412" w:type="dxa"/>
            <w:vAlign w:val="center"/>
          </w:tcPr>
          <w:p w14:paraId="1EBAF0BF"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扩展不确定度</w:t>
            </w:r>
            <w:r w:rsidRPr="00255322">
              <w:rPr>
                <w:rFonts w:ascii="Times New Roman" w:eastAsia="仿宋" w:hAnsi="Times New Roman" w:cs="Times New Roman"/>
                <w:color w:val="000000"/>
                <w:kern w:val="0"/>
                <w:sz w:val="21"/>
                <w:szCs w:val="21"/>
              </w:rPr>
              <w:t>(</w:t>
            </w:r>
            <w:r w:rsidRPr="00255322">
              <w:rPr>
                <w:rFonts w:ascii="Times New Roman" w:eastAsia="仿宋" w:hAnsi="Times New Roman" w:cs="Times New Roman"/>
                <w:i/>
                <w:iCs/>
                <w:color w:val="000000"/>
                <w:kern w:val="0"/>
                <w:sz w:val="21"/>
                <w:szCs w:val="21"/>
              </w:rPr>
              <w:t>k</w:t>
            </w:r>
            <w:r w:rsidRPr="00255322">
              <w:rPr>
                <w:rFonts w:ascii="Times New Roman" w:eastAsia="仿宋" w:hAnsi="Times New Roman" w:cs="Times New Roman"/>
                <w:color w:val="000000"/>
                <w:kern w:val="0"/>
                <w:sz w:val="21"/>
                <w:szCs w:val="21"/>
              </w:rPr>
              <w:t>=2)</w:t>
            </w:r>
          </w:p>
        </w:tc>
        <w:tc>
          <w:tcPr>
            <w:tcW w:w="1418" w:type="dxa"/>
            <w:vAlign w:val="center"/>
          </w:tcPr>
          <w:p w14:paraId="04B27F92"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相对示值误差</w:t>
            </w:r>
            <w:r w:rsidRPr="00255322">
              <w:rPr>
                <w:rFonts w:ascii="Times New Roman" w:eastAsia="仿宋" w:hAnsi="Times New Roman" w:cs="Times New Roman"/>
                <w:color w:val="000000"/>
                <w:kern w:val="0"/>
                <w:sz w:val="21"/>
                <w:szCs w:val="21"/>
              </w:rPr>
              <w:t>(%)</w:t>
            </w:r>
          </w:p>
        </w:tc>
        <w:tc>
          <w:tcPr>
            <w:tcW w:w="998" w:type="dxa"/>
            <w:vAlign w:val="center"/>
          </w:tcPr>
          <w:p w14:paraId="4ED4AFA6"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非线性</w:t>
            </w:r>
            <w:r w:rsidRPr="00255322">
              <w:rPr>
                <w:rFonts w:ascii="Times New Roman" w:eastAsia="仿宋" w:hAnsi="Times New Roman" w:cs="Times New Roman"/>
                <w:color w:val="000000"/>
                <w:kern w:val="0"/>
                <w:sz w:val="21"/>
                <w:szCs w:val="21"/>
              </w:rPr>
              <w:t>(%)</w:t>
            </w:r>
          </w:p>
        </w:tc>
        <w:tc>
          <w:tcPr>
            <w:tcW w:w="1134" w:type="dxa"/>
            <w:vAlign w:val="center"/>
          </w:tcPr>
          <w:p w14:paraId="50634234"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重复性</w:t>
            </w:r>
            <w:r w:rsidRPr="00255322">
              <w:rPr>
                <w:rFonts w:ascii="Times New Roman" w:eastAsia="仿宋" w:hAnsi="Times New Roman" w:cs="Times New Roman"/>
                <w:color w:val="000000"/>
                <w:kern w:val="0"/>
                <w:sz w:val="21"/>
                <w:szCs w:val="21"/>
              </w:rPr>
              <w:t>(%)</w:t>
            </w:r>
          </w:p>
        </w:tc>
      </w:tr>
      <w:tr w:rsidR="00136F89" w:rsidRPr="00255322" w14:paraId="30C3C26A" w14:textId="77777777" w:rsidTr="00A80D47">
        <w:trPr>
          <w:trHeight w:val="283"/>
          <w:jc w:val="center"/>
        </w:trPr>
        <w:tc>
          <w:tcPr>
            <w:tcW w:w="1696" w:type="dxa"/>
            <w:vAlign w:val="center"/>
          </w:tcPr>
          <w:p w14:paraId="27330BE4"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检定结果</w:t>
            </w:r>
          </w:p>
        </w:tc>
        <w:tc>
          <w:tcPr>
            <w:tcW w:w="1423" w:type="dxa"/>
            <w:vAlign w:val="center"/>
          </w:tcPr>
          <w:p w14:paraId="6C5BE7B7"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3.845</w:t>
            </w:r>
          </w:p>
        </w:tc>
        <w:tc>
          <w:tcPr>
            <w:tcW w:w="1412" w:type="dxa"/>
            <w:vAlign w:val="center"/>
          </w:tcPr>
          <w:p w14:paraId="1CD55909"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9</w:t>
            </w:r>
          </w:p>
        </w:tc>
        <w:tc>
          <w:tcPr>
            <w:tcW w:w="1418" w:type="dxa"/>
            <w:vAlign w:val="center"/>
          </w:tcPr>
          <w:p w14:paraId="3FC563FE"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0.7</w:t>
            </w:r>
          </w:p>
        </w:tc>
        <w:tc>
          <w:tcPr>
            <w:tcW w:w="998" w:type="dxa"/>
            <w:vAlign w:val="center"/>
          </w:tcPr>
          <w:p w14:paraId="1299EA2F"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1.4</w:t>
            </w:r>
          </w:p>
        </w:tc>
        <w:tc>
          <w:tcPr>
            <w:tcW w:w="1134" w:type="dxa"/>
            <w:vAlign w:val="center"/>
          </w:tcPr>
          <w:p w14:paraId="35B9B78F"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3.5</w:t>
            </w:r>
          </w:p>
        </w:tc>
      </w:tr>
      <w:tr w:rsidR="00136F89" w:rsidRPr="00255322" w14:paraId="0ACD1D5D" w14:textId="77777777" w:rsidTr="00A80D47">
        <w:trPr>
          <w:trHeight w:val="283"/>
          <w:jc w:val="center"/>
        </w:trPr>
        <w:tc>
          <w:tcPr>
            <w:tcW w:w="1696" w:type="dxa"/>
            <w:vAlign w:val="center"/>
          </w:tcPr>
          <w:p w14:paraId="610631B3"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第一次核查</w:t>
            </w:r>
          </w:p>
        </w:tc>
        <w:tc>
          <w:tcPr>
            <w:tcW w:w="1423" w:type="dxa"/>
            <w:vAlign w:val="center"/>
          </w:tcPr>
          <w:p w14:paraId="45AD8E06"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3.703</w:t>
            </w:r>
          </w:p>
        </w:tc>
        <w:tc>
          <w:tcPr>
            <w:tcW w:w="1412" w:type="dxa"/>
            <w:vAlign w:val="center"/>
          </w:tcPr>
          <w:p w14:paraId="2E2E4888"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9</w:t>
            </w:r>
          </w:p>
        </w:tc>
        <w:tc>
          <w:tcPr>
            <w:tcW w:w="1418" w:type="dxa"/>
            <w:vAlign w:val="center"/>
          </w:tcPr>
          <w:p w14:paraId="40A166C4"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0.3</w:t>
            </w:r>
          </w:p>
        </w:tc>
        <w:tc>
          <w:tcPr>
            <w:tcW w:w="998" w:type="dxa"/>
            <w:vAlign w:val="center"/>
          </w:tcPr>
          <w:p w14:paraId="0AF0537C"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0.8</w:t>
            </w:r>
          </w:p>
        </w:tc>
        <w:tc>
          <w:tcPr>
            <w:tcW w:w="1134" w:type="dxa"/>
            <w:vAlign w:val="center"/>
          </w:tcPr>
          <w:p w14:paraId="40BF6D33"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3.9</w:t>
            </w:r>
          </w:p>
        </w:tc>
      </w:tr>
      <w:tr w:rsidR="00136F89" w:rsidRPr="00255322" w14:paraId="3115954D" w14:textId="77777777" w:rsidTr="00A80D47">
        <w:trPr>
          <w:trHeight w:val="283"/>
          <w:jc w:val="center"/>
        </w:trPr>
        <w:tc>
          <w:tcPr>
            <w:tcW w:w="1696" w:type="dxa"/>
            <w:vAlign w:val="center"/>
          </w:tcPr>
          <w:p w14:paraId="79EC3879"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第二次核查</w:t>
            </w:r>
          </w:p>
        </w:tc>
        <w:tc>
          <w:tcPr>
            <w:tcW w:w="1423" w:type="dxa"/>
            <w:vAlign w:val="center"/>
          </w:tcPr>
          <w:p w14:paraId="763F62EE"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3.657</w:t>
            </w:r>
          </w:p>
        </w:tc>
        <w:tc>
          <w:tcPr>
            <w:tcW w:w="1412" w:type="dxa"/>
            <w:vAlign w:val="center"/>
          </w:tcPr>
          <w:p w14:paraId="78C330BB"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9</w:t>
            </w:r>
          </w:p>
        </w:tc>
        <w:tc>
          <w:tcPr>
            <w:tcW w:w="1418" w:type="dxa"/>
            <w:vAlign w:val="center"/>
          </w:tcPr>
          <w:p w14:paraId="733161E7"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1.2</w:t>
            </w:r>
          </w:p>
        </w:tc>
        <w:tc>
          <w:tcPr>
            <w:tcW w:w="998" w:type="dxa"/>
            <w:vAlign w:val="center"/>
          </w:tcPr>
          <w:p w14:paraId="4885D161"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2.7</w:t>
            </w:r>
          </w:p>
        </w:tc>
        <w:tc>
          <w:tcPr>
            <w:tcW w:w="1134" w:type="dxa"/>
            <w:vAlign w:val="center"/>
          </w:tcPr>
          <w:p w14:paraId="50BE56D2"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2.9</w:t>
            </w:r>
          </w:p>
        </w:tc>
      </w:tr>
      <w:tr w:rsidR="00136F89" w:rsidRPr="00255322" w14:paraId="1CE8CAF6" w14:textId="77777777" w:rsidTr="00A80D47">
        <w:trPr>
          <w:trHeight w:val="283"/>
          <w:jc w:val="center"/>
        </w:trPr>
        <w:tc>
          <w:tcPr>
            <w:tcW w:w="1696" w:type="dxa"/>
            <w:vAlign w:val="center"/>
          </w:tcPr>
          <w:p w14:paraId="240D6ABD"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最大相对偏差</w:t>
            </w:r>
          </w:p>
        </w:tc>
        <w:tc>
          <w:tcPr>
            <w:tcW w:w="1423" w:type="dxa"/>
            <w:vAlign w:val="center"/>
          </w:tcPr>
          <w:p w14:paraId="31C49E3E"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-4.9%</w:t>
            </w:r>
          </w:p>
        </w:tc>
        <w:tc>
          <w:tcPr>
            <w:tcW w:w="1412" w:type="dxa"/>
            <w:vAlign w:val="center"/>
          </w:tcPr>
          <w:p w14:paraId="5EF7723C"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w:t>
            </w:r>
          </w:p>
        </w:tc>
        <w:tc>
          <w:tcPr>
            <w:tcW w:w="1418" w:type="dxa"/>
            <w:vAlign w:val="center"/>
          </w:tcPr>
          <w:p w14:paraId="55E64D19"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w:t>
            </w:r>
          </w:p>
        </w:tc>
        <w:tc>
          <w:tcPr>
            <w:tcW w:w="998" w:type="dxa"/>
            <w:vAlign w:val="center"/>
          </w:tcPr>
          <w:p w14:paraId="7F28A819"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w:t>
            </w:r>
          </w:p>
        </w:tc>
        <w:tc>
          <w:tcPr>
            <w:tcW w:w="1134" w:type="dxa"/>
            <w:vAlign w:val="center"/>
          </w:tcPr>
          <w:p w14:paraId="55C5B620" w14:textId="77777777" w:rsidR="00136F89" w:rsidRPr="00255322" w:rsidRDefault="0090020D">
            <w:pPr>
              <w:snapToGrid w:val="0"/>
              <w:jc w:val="center"/>
              <w:rPr>
                <w:rFonts w:ascii="Times New Roman" w:eastAsia="仿宋" w:hAnsi="Times New Roman" w:cs="Times New Roman"/>
                <w:color w:val="000000"/>
                <w:kern w:val="0"/>
                <w:sz w:val="21"/>
                <w:szCs w:val="21"/>
              </w:rPr>
            </w:pPr>
            <w:r w:rsidRPr="00255322">
              <w:rPr>
                <w:rFonts w:ascii="Times New Roman" w:eastAsia="仿宋" w:hAnsi="Times New Roman" w:cs="Times New Roman"/>
                <w:color w:val="000000"/>
                <w:kern w:val="0"/>
                <w:sz w:val="21"/>
                <w:szCs w:val="21"/>
              </w:rPr>
              <w:t>/</w:t>
            </w:r>
          </w:p>
        </w:tc>
      </w:tr>
    </w:tbl>
    <w:p w14:paraId="662A6FD4" w14:textId="77777777" w:rsidR="00A80D47" w:rsidRDefault="00A80D47" w:rsidP="00A80D47">
      <w:pPr>
        <w:spacing w:line="360" w:lineRule="auto"/>
        <w:ind w:firstLineChars="200" w:firstLine="480"/>
        <w:rPr>
          <w:rFonts w:ascii="Times New Roman" w:hAnsi="Times New Roman" w:cs="Times New Roman"/>
        </w:rPr>
      </w:pPr>
    </w:p>
    <w:p w14:paraId="29BEF0F9" w14:textId="77777777" w:rsidR="00136F89" w:rsidRDefault="0090020D">
      <w:pPr>
        <w:pStyle w:val="af6"/>
        <w:numPr>
          <w:ilvl w:val="0"/>
          <w:numId w:val="4"/>
        </w:numPr>
        <w:spacing w:before="240" w:after="240" w:line="360" w:lineRule="auto"/>
        <w:ind w:firstLineChars="0"/>
        <w:rPr>
          <w:rFonts w:ascii="黑体" w:eastAsia="黑体" w:hAnsi="黑体"/>
          <w:kern w:val="0"/>
        </w:rPr>
      </w:pPr>
      <w:r>
        <w:rPr>
          <w:rFonts w:ascii="黑体" w:eastAsia="黑体" w:hAnsi="黑体" w:hint="eastAsia"/>
          <w:kern w:val="0"/>
        </w:rPr>
        <w:t>测井准备</w:t>
      </w:r>
    </w:p>
    <w:p w14:paraId="1D2F3D60"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测井准备技术要求主要参照</w:t>
      </w:r>
      <w:r>
        <w:rPr>
          <w:rFonts w:ascii="Times New Roman" w:hAnsi="Times New Roman" w:cs="Times New Roman"/>
        </w:rPr>
        <w:t xml:space="preserve">EJ/T 1162 </w:t>
      </w:r>
      <w:r>
        <w:rPr>
          <w:rFonts w:ascii="Times New Roman" w:hAnsi="Times New Roman" w:cs="Times New Roman"/>
        </w:rPr>
        <w:t>《地浸砂岩型铀矿地球物理测井规</w:t>
      </w:r>
      <w:r>
        <w:rPr>
          <w:rFonts w:ascii="Times New Roman" w:hAnsi="Times New Roman" w:cs="Times New Roman"/>
        </w:rPr>
        <w:lastRenderedPageBreak/>
        <w:t>范》，主要准备工作根据中子测井实际需要制定，经过多年测井实践验证可行。</w:t>
      </w:r>
    </w:p>
    <w:p w14:paraId="38525934" w14:textId="77777777" w:rsidR="00136F89" w:rsidRDefault="0090020D">
      <w:pPr>
        <w:pStyle w:val="af6"/>
        <w:numPr>
          <w:ilvl w:val="0"/>
          <w:numId w:val="4"/>
        </w:numPr>
        <w:spacing w:before="240" w:after="240" w:line="360" w:lineRule="auto"/>
        <w:ind w:firstLineChars="0"/>
        <w:rPr>
          <w:rFonts w:ascii="黑体" w:eastAsia="黑体" w:hAnsi="黑体"/>
          <w:kern w:val="0"/>
        </w:rPr>
      </w:pPr>
      <w:r>
        <w:rPr>
          <w:rFonts w:ascii="黑体" w:eastAsia="黑体" w:hAnsi="黑体" w:hint="eastAsia"/>
          <w:kern w:val="0"/>
        </w:rPr>
        <w:t>测井方法和要求</w:t>
      </w:r>
    </w:p>
    <w:p w14:paraId="4A34E4C0" w14:textId="77777777" w:rsidR="00136F89" w:rsidRDefault="0090020D">
      <w:pPr>
        <w:spacing w:before="240" w:line="360" w:lineRule="auto"/>
        <w:rPr>
          <w:rFonts w:ascii="黑体" w:eastAsia="黑体" w:hAnsi="黑体"/>
          <w:kern w:val="0"/>
        </w:rPr>
      </w:pPr>
      <w:r>
        <w:rPr>
          <w:rFonts w:ascii="黑体" w:eastAsia="黑体" w:hAnsi="黑体" w:hint="eastAsia"/>
          <w:kern w:val="0"/>
        </w:rPr>
        <w:t>6.1 测井速度验证</w:t>
      </w:r>
    </w:p>
    <w:p w14:paraId="6A3870D0" w14:textId="67B504BD"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2024</w:t>
      </w:r>
      <w:r>
        <w:rPr>
          <w:rFonts w:ascii="Times New Roman" w:hAnsi="Times New Roman" w:cs="Times New Roman"/>
        </w:rPr>
        <w:t>年</w:t>
      </w:r>
      <w:r>
        <w:rPr>
          <w:rFonts w:ascii="Times New Roman" w:hAnsi="Times New Roman" w:cs="Times New Roman"/>
        </w:rPr>
        <w:t>9</w:t>
      </w:r>
      <w:r>
        <w:rPr>
          <w:rFonts w:ascii="Times New Roman" w:hAnsi="Times New Roman" w:cs="Times New Roman"/>
        </w:rPr>
        <w:t>月</w:t>
      </w:r>
      <w:r>
        <w:rPr>
          <w:rFonts w:ascii="Times New Roman" w:hAnsi="Times New Roman" w:cs="Times New Roman"/>
        </w:rPr>
        <w:t>28</w:t>
      </w:r>
      <w:r>
        <w:rPr>
          <w:rFonts w:ascii="Times New Roman" w:hAnsi="Times New Roman" w:cs="Times New Roman"/>
        </w:rPr>
        <w:t>日，采用</w:t>
      </w:r>
      <w:r>
        <w:rPr>
          <w:rFonts w:ascii="Times New Roman" w:hAnsi="Times New Roman" w:cs="Times New Roman"/>
        </w:rPr>
        <w:t>M-WT-5</w:t>
      </w:r>
      <w:r>
        <w:rPr>
          <w:rFonts w:ascii="Times New Roman" w:hAnsi="Times New Roman" w:cs="Times New Roman"/>
        </w:rPr>
        <w:t>参数</w:t>
      </w:r>
      <w:proofErr w:type="gramStart"/>
      <w:r>
        <w:rPr>
          <w:rFonts w:ascii="Times New Roman" w:hAnsi="Times New Roman" w:cs="Times New Roman"/>
        </w:rPr>
        <w:t>孔开展</w:t>
      </w:r>
      <w:proofErr w:type="gramEnd"/>
      <w:r>
        <w:rPr>
          <w:rFonts w:ascii="Times New Roman" w:hAnsi="Times New Roman" w:cs="Times New Roman"/>
        </w:rPr>
        <w:t>测井速度实验。</w:t>
      </w:r>
      <w:r>
        <w:rPr>
          <w:rFonts w:ascii="Times New Roman" w:hAnsi="Times New Roman" w:cs="Times New Roman" w:hint="eastAsia"/>
        </w:rPr>
        <w:t>不同速度的中子测井的数据处理结果曲线见</w:t>
      </w:r>
      <w:r>
        <w:rPr>
          <w:rFonts w:ascii="Times New Roman" w:hAnsi="Times New Roman" w:cs="Times New Roman" w:hint="eastAsia"/>
        </w:rPr>
        <w:fldChar w:fldCharType="begin"/>
      </w:r>
      <w:r>
        <w:rPr>
          <w:rFonts w:ascii="Times New Roman" w:hAnsi="Times New Roman" w:cs="Times New Roman" w:hint="eastAsia"/>
        </w:rPr>
        <w:instrText xml:space="preserve"> REF _Ref17953 \h </w:instrText>
      </w:r>
      <w:r>
        <w:rPr>
          <w:rFonts w:ascii="Times New Roman" w:hAnsi="Times New Roman" w:cs="Times New Roman" w:hint="eastAsia"/>
        </w:rPr>
      </w:r>
      <w:r>
        <w:rPr>
          <w:rFonts w:ascii="Times New Roman" w:hAnsi="Times New Roman" w:cs="Times New Roman" w:hint="eastAsia"/>
        </w:rPr>
        <w:fldChar w:fldCharType="separate"/>
      </w:r>
      <w:r w:rsidR="00DD78E4" w:rsidRPr="008141ED">
        <w:rPr>
          <w:rFonts w:ascii="Times New Roman" w:eastAsia="仿宋" w:hAnsi="Times New Roman" w:cs="Times New Roman"/>
          <w:sz w:val="21"/>
          <w:szCs w:val="16"/>
        </w:rPr>
        <w:t>图</w:t>
      </w:r>
      <w:r w:rsidR="00DD78E4" w:rsidRPr="008141ED">
        <w:rPr>
          <w:rFonts w:ascii="Times New Roman" w:eastAsia="仿宋" w:hAnsi="Times New Roman" w:cs="Times New Roman"/>
          <w:sz w:val="21"/>
          <w:szCs w:val="16"/>
        </w:rPr>
        <w:t>6-1</w:t>
      </w:r>
      <w:r>
        <w:rPr>
          <w:rFonts w:ascii="Times New Roman" w:hAnsi="Times New Roman" w:cs="Times New Roman" w:hint="eastAsia"/>
        </w:rPr>
        <w:fldChar w:fldCharType="end"/>
      </w:r>
      <w:r>
        <w:rPr>
          <w:rFonts w:ascii="Times New Roman" w:hAnsi="Times New Roman" w:cs="Times New Roman" w:hint="eastAsia"/>
        </w:rPr>
        <w:t>，</w:t>
      </w:r>
      <w:r>
        <w:rPr>
          <w:rFonts w:ascii="Times New Roman" w:hAnsi="Times New Roman" w:cs="Times New Roman"/>
        </w:rPr>
        <w:t>本底层不同速度测井结果进行统计分析，得到</w:t>
      </w:r>
      <w:r>
        <w:rPr>
          <w:rFonts w:ascii="Times New Roman" w:hAnsi="Times New Roman" w:cs="Times New Roman"/>
        </w:rPr>
        <w:t>728~733m</w:t>
      </w:r>
      <w:r>
        <w:rPr>
          <w:rFonts w:ascii="Times New Roman" w:hAnsi="Times New Roman" w:cs="Times New Roman"/>
        </w:rPr>
        <w:t>深度的平均</w:t>
      </w:r>
      <w:r>
        <w:rPr>
          <w:rFonts w:ascii="Times New Roman" w:hAnsi="Times New Roman" w:cs="Times New Roman"/>
        </w:rPr>
        <w:t>γ</w:t>
      </w:r>
      <w:r>
        <w:rPr>
          <w:rFonts w:ascii="Times New Roman" w:hAnsi="Times New Roman" w:cs="Times New Roman"/>
        </w:rPr>
        <w:t>总量</w:t>
      </w:r>
      <w:r>
        <w:rPr>
          <w:rFonts w:ascii="Times New Roman" w:hAnsi="Times New Roman" w:cs="Times New Roman"/>
        </w:rPr>
        <w:t>14.8Ur</w:t>
      </w:r>
      <w:r>
        <w:rPr>
          <w:rFonts w:ascii="Times New Roman" w:hAnsi="Times New Roman" w:cs="Times New Roman"/>
        </w:rPr>
        <w:t>、等效铀含量</w:t>
      </w:r>
      <w:r>
        <w:rPr>
          <w:rFonts w:ascii="Times New Roman" w:hAnsi="Times New Roman" w:cs="Times New Roman"/>
        </w:rPr>
        <w:t>0.87×10</w:t>
      </w:r>
      <w:r>
        <w:rPr>
          <w:rFonts w:ascii="Times New Roman" w:hAnsi="Times New Roman" w:cs="Times New Roman"/>
          <w:vertAlign w:val="superscript"/>
        </w:rPr>
        <w:t>-6</w:t>
      </w:r>
      <w:r>
        <w:rPr>
          <w:rFonts w:ascii="Times New Roman" w:hAnsi="Times New Roman" w:cs="Times New Roman"/>
        </w:rPr>
        <w:t>、直接铀含量</w:t>
      </w:r>
      <w:r>
        <w:rPr>
          <w:rFonts w:ascii="Times New Roman" w:hAnsi="Times New Roman" w:cs="Times New Roman"/>
        </w:rPr>
        <w:t>11.8×10</w:t>
      </w:r>
      <w:r>
        <w:rPr>
          <w:rFonts w:ascii="Times New Roman" w:hAnsi="Times New Roman" w:cs="Times New Roman"/>
          <w:vertAlign w:val="superscript"/>
        </w:rPr>
        <w:t>-6</w:t>
      </w:r>
      <w:r>
        <w:rPr>
          <w:rFonts w:ascii="Times New Roman" w:hAnsi="Times New Roman" w:cs="Times New Roman"/>
        </w:rPr>
        <w:t>条件下的</w:t>
      </w:r>
      <w:proofErr w:type="gramStart"/>
      <w:r>
        <w:rPr>
          <w:rFonts w:ascii="Times New Roman" w:hAnsi="Times New Roman" w:cs="Times New Roman"/>
        </w:rPr>
        <w:t>探测限见</w:t>
      </w:r>
      <w:proofErr w:type="gramEnd"/>
      <w:r>
        <w:rPr>
          <w:rFonts w:ascii="Times New Roman" w:hAnsi="Times New Roman" w:cs="Times New Roman"/>
        </w:rPr>
        <w:fldChar w:fldCharType="begin"/>
      </w:r>
      <w:r>
        <w:rPr>
          <w:rFonts w:ascii="Times New Roman" w:hAnsi="Times New Roman" w:cs="Times New Roman"/>
        </w:rPr>
        <w:instrText xml:space="preserve"> REF _Ref17375 \h </w:instrText>
      </w:r>
      <w:r w:rsidR="00DD78E4">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DD78E4" w:rsidRPr="00DD78E4">
        <w:rPr>
          <w:rFonts w:ascii="Times New Roman" w:hAnsi="Times New Roman" w:cs="Times New Roman"/>
        </w:rPr>
        <w:t>表</w:t>
      </w:r>
      <w:r w:rsidR="00DD78E4" w:rsidRPr="00DD78E4">
        <w:rPr>
          <w:rFonts w:ascii="Times New Roman" w:hAnsi="Times New Roman" w:cs="Times New Roman"/>
        </w:rPr>
        <w:t>6-1</w:t>
      </w:r>
      <w:r>
        <w:rPr>
          <w:rFonts w:ascii="Times New Roman" w:hAnsi="Times New Roman" w:cs="Times New Roman"/>
        </w:rPr>
        <w:fldChar w:fldCharType="end"/>
      </w:r>
      <w:r>
        <w:rPr>
          <w:rFonts w:ascii="Times New Roman" w:hAnsi="Times New Roman" w:cs="Times New Roman"/>
        </w:rPr>
        <w:t>。在</w:t>
      </w:r>
      <w:r>
        <w:rPr>
          <w:rFonts w:ascii="Times New Roman" w:hAnsi="Times New Roman" w:cs="Times New Roman"/>
        </w:rPr>
        <w:t>755~760m</w:t>
      </w:r>
      <w:r>
        <w:rPr>
          <w:rFonts w:ascii="Times New Roman" w:hAnsi="Times New Roman" w:cs="Times New Roman"/>
        </w:rPr>
        <w:t>深度的平均</w:t>
      </w:r>
      <w:r>
        <w:rPr>
          <w:rFonts w:ascii="Times New Roman" w:hAnsi="Times New Roman" w:cs="Times New Roman"/>
        </w:rPr>
        <w:t>γ</w:t>
      </w:r>
      <w:r>
        <w:rPr>
          <w:rFonts w:ascii="Times New Roman" w:hAnsi="Times New Roman" w:cs="Times New Roman"/>
        </w:rPr>
        <w:t>总量</w:t>
      </w:r>
      <w:r>
        <w:rPr>
          <w:rFonts w:ascii="Times New Roman" w:hAnsi="Times New Roman" w:cs="Times New Roman"/>
        </w:rPr>
        <w:t>15.4Ur</w:t>
      </w:r>
      <w:r>
        <w:rPr>
          <w:rFonts w:ascii="Times New Roman" w:hAnsi="Times New Roman" w:cs="Times New Roman"/>
        </w:rPr>
        <w:t>、等效铀含量</w:t>
      </w:r>
      <w:r>
        <w:rPr>
          <w:rFonts w:ascii="Times New Roman" w:hAnsi="Times New Roman" w:cs="Times New Roman"/>
        </w:rPr>
        <w:t>10.1×10</w:t>
      </w:r>
      <w:r>
        <w:rPr>
          <w:rFonts w:ascii="Times New Roman" w:hAnsi="Times New Roman" w:cs="Times New Roman"/>
          <w:vertAlign w:val="superscript"/>
        </w:rPr>
        <w:t>-6</w:t>
      </w:r>
      <w:r>
        <w:rPr>
          <w:rFonts w:ascii="Times New Roman" w:hAnsi="Times New Roman" w:cs="Times New Roman"/>
        </w:rPr>
        <w:t>、直接铀含量</w:t>
      </w:r>
      <w:r>
        <w:rPr>
          <w:rFonts w:ascii="Times New Roman" w:hAnsi="Times New Roman" w:cs="Times New Roman"/>
        </w:rPr>
        <w:t>21.7×10</w:t>
      </w:r>
      <w:r w:rsidRPr="00AE1778">
        <w:rPr>
          <w:rFonts w:ascii="Times New Roman" w:hAnsi="Times New Roman" w:cs="Times New Roman"/>
          <w:vertAlign w:val="superscript"/>
        </w:rPr>
        <w:t>-6</w:t>
      </w:r>
      <w:r>
        <w:rPr>
          <w:rFonts w:ascii="Times New Roman" w:hAnsi="Times New Roman" w:cs="Times New Roman"/>
        </w:rPr>
        <w:t>条件下的</w:t>
      </w:r>
      <w:proofErr w:type="gramStart"/>
      <w:r>
        <w:rPr>
          <w:rFonts w:ascii="Times New Roman" w:hAnsi="Times New Roman" w:cs="Times New Roman"/>
        </w:rPr>
        <w:t>探测限见</w:t>
      </w:r>
      <w:proofErr w:type="gramEnd"/>
      <w:r>
        <w:rPr>
          <w:rFonts w:ascii="Times New Roman" w:hAnsi="Times New Roman" w:cs="Times New Roman"/>
        </w:rPr>
        <w:fldChar w:fldCharType="begin"/>
      </w:r>
      <w:r>
        <w:rPr>
          <w:rFonts w:ascii="Times New Roman" w:hAnsi="Times New Roman" w:cs="Times New Roman"/>
        </w:rPr>
        <w:instrText xml:space="preserve"> REF _Ref17590 \h </w:instrText>
      </w:r>
      <w:r w:rsidR="00DD78E4">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DD78E4" w:rsidRPr="00DD78E4">
        <w:rPr>
          <w:rFonts w:ascii="Times New Roman" w:hAnsi="Times New Roman" w:cs="Times New Roman"/>
        </w:rPr>
        <w:t>表</w:t>
      </w:r>
      <w:r w:rsidR="00DD78E4" w:rsidRPr="00DD78E4">
        <w:rPr>
          <w:rFonts w:ascii="Times New Roman" w:hAnsi="Times New Roman" w:cs="Times New Roman"/>
        </w:rPr>
        <w:t>6-2</w:t>
      </w:r>
      <w:r>
        <w:rPr>
          <w:rFonts w:ascii="Times New Roman" w:hAnsi="Times New Roman" w:cs="Times New Roman"/>
        </w:rPr>
        <w:fldChar w:fldCharType="end"/>
      </w:r>
      <w:r>
        <w:rPr>
          <w:rFonts w:ascii="Times New Roman" w:hAnsi="Times New Roman" w:cs="Times New Roman"/>
        </w:rPr>
        <w:t>。</w:t>
      </w:r>
    </w:p>
    <w:p w14:paraId="70290B0C" w14:textId="77777777" w:rsidR="00D528C4" w:rsidRDefault="0090020D" w:rsidP="00D528C4">
      <w:pPr>
        <w:spacing w:line="360" w:lineRule="auto"/>
        <w:ind w:firstLineChars="200" w:firstLine="480"/>
        <w:rPr>
          <w:rFonts w:ascii="Times New Roman" w:hAnsi="Times New Roman" w:cs="Times New Roman"/>
        </w:rPr>
      </w:pPr>
      <w:r>
        <w:rPr>
          <w:rFonts w:ascii="Times New Roman" w:hAnsi="Times New Roman" w:cs="Times New Roman"/>
        </w:rPr>
        <w:t>据此推断在测井速度不超过</w:t>
      </w:r>
      <w:r>
        <w:rPr>
          <w:rFonts w:ascii="Times New Roman" w:hAnsi="Times New Roman" w:cs="Times New Roman"/>
        </w:rPr>
        <w:t>3m/min</w:t>
      </w:r>
      <w:r>
        <w:rPr>
          <w:rFonts w:ascii="Times New Roman" w:hAnsi="Times New Roman" w:cs="Times New Roman"/>
        </w:rPr>
        <w:t>时，直接铀含量测井</w:t>
      </w:r>
      <w:proofErr w:type="gramStart"/>
      <w:r>
        <w:rPr>
          <w:rFonts w:ascii="Times New Roman" w:hAnsi="Times New Roman" w:cs="Times New Roman"/>
        </w:rPr>
        <w:t>探测限不超过</w:t>
      </w:r>
      <w:proofErr w:type="gramEnd"/>
      <w:r>
        <w:rPr>
          <w:rFonts w:ascii="Times New Roman" w:hAnsi="Times New Roman" w:cs="Times New Roman"/>
        </w:rPr>
        <w:t>45×10</w:t>
      </w:r>
      <w:r>
        <w:rPr>
          <w:rFonts w:ascii="Times New Roman" w:hAnsi="Times New Roman" w:cs="Times New Roman"/>
          <w:vertAlign w:val="superscript"/>
        </w:rPr>
        <w:t>-6</w:t>
      </w:r>
      <w:r>
        <w:rPr>
          <w:rFonts w:ascii="Times New Roman" w:hAnsi="Times New Roman" w:cs="Times New Roman"/>
        </w:rPr>
        <w:t>。</w:t>
      </w:r>
    </w:p>
    <w:p w14:paraId="124CDE51" w14:textId="7199C5F0" w:rsidR="00136F89" w:rsidRDefault="00136F89">
      <w:pPr>
        <w:spacing w:line="360" w:lineRule="auto"/>
        <w:ind w:firstLineChars="200" w:firstLine="480"/>
        <w:rPr>
          <w:rFonts w:ascii="Times New Roman" w:hAnsi="Times New Roman" w:cs="Times New Roman"/>
        </w:rPr>
      </w:pPr>
    </w:p>
    <w:p w14:paraId="29F97B7B" w14:textId="323C5626" w:rsidR="00136F89" w:rsidRDefault="0090020D">
      <w:pPr>
        <w:keepNext/>
        <w:spacing w:beforeLines="50" w:before="156" w:line="360" w:lineRule="auto"/>
        <w:jc w:val="center"/>
        <w:rPr>
          <w:rFonts w:ascii="Times New Roman" w:eastAsia="黑体" w:hAnsi="Times New Roman" w:cs="Times New Roman"/>
          <w:kern w:val="0"/>
          <w:sz w:val="21"/>
          <w:szCs w:val="21"/>
        </w:rPr>
      </w:pPr>
      <w:bookmarkStart w:id="8" w:name="_Ref17375"/>
      <w:r>
        <w:rPr>
          <w:rFonts w:ascii="Times New Roman" w:eastAsia="黑体" w:hAnsi="Times New Roman" w:cs="Times New Roman"/>
          <w:kern w:val="0"/>
          <w:sz w:val="21"/>
          <w:szCs w:val="21"/>
        </w:rPr>
        <w:t>表</w:t>
      </w:r>
      <w:r>
        <w:rPr>
          <w:rFonts w:ascii="Times New Roman" w:eastAsia="黑体" w:hAnsi="Times New Roman" w:cs="Times New Roman"/>
          <w:kern w:val="0"/>
          <w:sz w:val="21"/>
          <w:szCs w:val="21"/>
        </w:rPr>
        <w:t>6-</w:t>
      </w:r>
      <w:r>
        <w:rPr>
          <w:rFonts w:ascii="Times New Roman" w:eastAsia="黑体" w:hAnsi="Times New Roman" w:cs="Times New Roman"/>
          <w:kern w:val="0"/>
          <w:sz w:val="21"/>
          <w:szCs w:val="21"/>
        </w:rPr>
        <w:fldChar w:fldCharType="begin"/>
      </w:r>
      <w:r>
        <w:rPr>
          <w:rFonts w:ascii="Times New Roman" w:eastAsia="黑体" w:hAnsi="Times New Roman" w:cs="Times New Roman"/>
          <w:kern w:val="0"/>
          <w:sz w:val="21"/>
          <w:szCs w:val="21"/>
        </w:rPr>
        <w:instrText xml:space="preserve"> SEQ </w:instrText>
      </w:r>
      <w:r>
        <w:rPr>
          <w:rFonts w:ascii="Times New Roman" w:eastAsia="黑体" w:hAnsi="Times New Roman" w:cs="Times New Roman"/>
          <w:kern w:val="0"/>
          <w:sz w:val="21"/>
          <w:szCs w:val="21"/>
        </w:rPr>
        <w:instrText>表</w:instrText>
      </w:r>
      <w:r>
        <w:rPr>
          <w:rFonts w:ascii="Times New Roman" w:eastAsia="黑体" w:hAnsi="Times New Roman" w:cs="Times New Roman"/>
          <w:kern w:val="0"/>
          <w:sz w:val="21"/>
          <w:szCs w:val="21"/>
        </w:rPr>
        <w:instrText xml:space="preserve">6- \* ARABIC </w:instrText>
      </w:r>
      <w:r>
        <w:rPr>
          <w:rFonts w:ascii="Times New Roman" w:eastAsia="黑体" w:hAnsi="Times New Roman" w:cs="Times New Roman"/>
          <w:kern w:val="0"/>
          <w:sz w:val="21"/>
          <w:szCs w:val="21"/>
        </w:rPr>
        <w:fldChar w:fldCharType="separate"/>
      </w:r>
      <w:r w:rsidR="00DD78E4">
        <w:rPr>
          <w:rFonts w:ascii="Times New Roman" w:eastAsia="黑体" w:hAnsi="Times New Roman" w:cs="Times New Roman"/>
          <w:noProof/>
          <w:kern w:val="0"/>
          <w:sz w:val="21"/>
          <w:szCs w:val="21"/>
        </w:rPr>
        <w:t>1</w:t>
      </w:r>
      <w:r>
        <w:rPr>
          <w:rFonts w:ascii="Times New Roman" w:eastAsia="黑体" w:hAnsi="Times New Roman" w:cs="Times New Roman"/>
          <w:kern w:val="0"/>
          <w:sz w:val="21"/>
          <w:szCs w:val="21"/>
        </w:rPr>
        <w:fldChar w:fldCharType="end"/>
      </w:r>
      <w:bookmarkEnd w:id="8"/>
      <w:r>
        <w:rPr>
          <w:rFonts w:ascii="Times New Roman" w:eastAsia="黑体" w:hAnsi="Times New Roman" w:cs="Times New Roman" w:hint="eastAsia"/>
          <w:kern w:val="0"/>
          <w:sz w:val="21"/>
          <w:szCs w:val="21"/>
        </w:rPr>
        <w:t xml:space="preserve">  </w:t>
      </w:r>
      <w:r>
        <w:rPr>
          <w:rFonts w:ascii="Times New Roman" w:eastAsia="黑体" w:hAnsi="Times New Roman" w:cs="Times New Roman"/>
          <w:kern w:val="0"/>
          <w:sz w:val="21"/>
          <w:szCs w:val="21"/>
        </w:rPr>
        <w:t>M-WT-5</w:t>
      </w:r>
      <w:r>
        <w:rPr>
          <w:rFonts w:ascii="Times New Roman" w:eastAsia="黑体" w:hAnsi="Times New Roman" w:cs="Times New Roman"/>
          <w:kern w:val="0"/>
          <w:sz w:val="21"/>
          <w:szCs w:val="21"/>
        </w:rPr>
        <w:t>参数孔</w:t>
      </w:r>
      <w:r>
        <w:rPr>
          <w:rFonts w:ascii="Times New Roman" w:eastAsia="黑体" w:hAnsi="Times New Roman" w:cs="Times New Roman"/>
          <w:kern w:val="0"/>
          <w:sz w:val="21"/>
          <w:szCs w:val="21"/>
        </w:rPr>
        <w:t>728~733m</w:t>
      </w:r>
      <w:r>
        <w:rPr>
          <w:rFonts w:ascii="Times New Roman" w:eastAsia="黑体" w:hAnsi="Times New Roman" w:cs="Times New Roman"/>
          <w:kern w:val="0"/>
          <w:sz w:val="21"/>
          <w:szCs w:val="21"/>
        </w:rPr>
        <w:t>深度本底层的探测</w:t>
      </w:r>
      <w:proofErr w:type="gramStart"/>
      <w:r>
        <w:rPr>
          <w:rFonts w:ascii="Times New Roman" w:eastAsia="黑体" w:hAnsi="Times New Roman" w:cs="Times New Roman"/>
          <w:kern w:val="0"/>
          <w:sz w:val="21"/>
          <w:szCs w:val="21"/>
        </w:rPr>
        <w:t>限计算</w:t>
      </w:r>
      <w:proofErr w:type="gramEnd"/>
      <w:r>
        <w:rPr>
          <w:rFonts w:ascii="Times New Roman" w:eastAsia="黑体" w:hAnsi="Times New Roman" w:cs="Times New Roman"/>
          <w:kern w:val="0"/>
          <w:sz w:val="21"/>
          <w:szCs w:val="21"/>
        </w:rPr>
        <w:t>结果</w:t>
      </w:r>
    </w:p>
    <w:tbl>
      <w:tblPr>
        <w:tblW w:w="9261" w:type="dxa"/>
        <w:jc w:val="center"/>
        <w:tblLook w:val="04A0" w:firstRow="1" w:lastRow="0" w:firstColumn="1" w:lastColumn="0" w:noHBand="0" w:noVBand="1"/>
      </w:tblPr>
      <w:tblGrid>
        <w:gridCol w:w="992"/>
        <w:gridCol w:w="849"/>
        <w:gridCol w:w="1060"/>
        <w:gridCol w:w="1024"/>
        <w:gridCol w:w="1150"/>
        <w:gridCol w:w="1006"/>
        <w:gridCol w:w="975"/>
        <w:gridCol w:w="1094"/>
        <w:gridCol w:w="1111"/>
      </w:tblGrid>
      <w:tr w:rsidR="00136F89" w:rsidRPr="00AE1778" w14:paraId="5230884D" w14:textId="77777777">
        <w:trPr>
          <w:trHeight w:val="228"/>
          <w:jc w:val="center"/>
        </w:trPr>
        <w:tc>
          <w:tcPr>
            <w:tcW w:w="992" w:type="dxa"/>
            <w:vMerge w:val="restart"/>
            <w:tcBorders>
              <w:top w:val="single" w:sz="4" w:space="0" w:color="auto"/>
              <w:left w:val="single" w:sz="4" w:space="0" w:color="auto"/>
              <w:right w:val="single" w:sz="4" w:space="0" w:color="auto"/>
            </w:tcBorders>
            <w:noWrap/>
            <w:vAlign w:val="center"/>
          </w:tcPr>
          <w:p w14:paraId="6302DE0C" w14:textId="77777777" w:rsidR="00136F89" w:rsidRPr="00AE1778" w:rsidRDefault="0090020D">
            <w:pPr>
              <w:jc w:val="center"/>
              <w:rPr>
                <w:rFonts w:ascii="Times New Roman" w:hAnsi="Times New Roman" w:cs="Times New Roman"/>
                <w:color w:val="000000"/>
                <w:kern w:val="0"/>
                <w:sz w:val="21"/>
                <w:szCs w:val="21"/>
              </w:rPr>
            </w:pPr>
            <w:r w:rsidRPr="00AE1778">
              <w:rPr>
                <w:rFonts w:ascii="Times New Roman" w:eastAsia="等线" w:hAnsi="Times New Roman" w:cs="Times New Roman"/>
                <w:color w:val="000000"/>
                <w:kern w:val="0"/>
                <w:sz w:val="21"/>
                <w:szCs w:val="21"/>
              </w:rPr>
              <w:t>测井线号</w:t>
            </w:r>
          </w:p>
        </w:tc>
        <w:tc>
          <w:tcPr>
            <w:tcW w:w="849" w:type="dxa"/>
            <w:vMerge w:val="restart"/>
            <w:tcBorders>
              <w:top w:val="single" w:sz="4" w:space="0" w:color="auto"/>
              <w:left w:val="nil"/>
              <w:right w:val="nil"/>
            </w:tcBorders>
            <w:vAlign w:val="center"/>
          </w:tcPr>
          <w:p w14:paraId="000D4D54"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数据量</w:t>
            </w:r>
          </w:p>
        </w:tc>
        <w:tc>
          <w:tcPr>
            <w:tcW w:w="1060" w:type="dxa"/>
            <w:vMerge w:val="restart"/>
            <w:tcBorders>
              <w:top w:val="single" w:sz="4" w:space="0" w:color="auto"/>
              <w:left w:val="nil"/>
              <w:right w:val="single" w:sz="4" w:space="0" w:color="auto"/>
            </w:tcBorders>
            <w:noWrap/>
            <w:vAlign w:val="center"/>
          </w:tcPr>
          <w:p w14:paraId="195C3043"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平均速度</w:t>
            </w:r>
            <w:r w:rsidRPr="00AE1778">
              <w:rPr>
                <w:rFonts w:ascii="Times New Roman" w:eastAsia="等线" w:hAnsi="Times New Roman" w:cs="Times New Roman"/>
                <w:color w:val="000000"/>
                <w:kern w:val="0"/>
                <w:sz w:val="21"/>
                <w:szCs w:val="21"/>
              </w:rPr>
              <w:t>(m/min)</w:t>
            </w:r>
          </w:p>
        </w:tc>
        <w:tc>
          <w:tcPr>
            <w:tcW w:w="3180" w:type="dxa"/>
            <w:gridSpan w:val="3"/>
            <w:tcBorders>
              <w:top w:val="single" w:sz="4" w:space="0" w:color="auto"/>
              <w:left w:val="nil"/>
              <w:bottom w:val="single" w:sz="4" w:space="0" w:color="auto"/>
              <w:right w:val="single" w:sz="4" w:space="0" w:color="auto"/>
            </w:tcBorders>
            <w:noWrap/>
            <w:vAlign w:val="center"/>
          </w:tcPr>
          <w:p w14:paraId="00B43C48" w14:textId="77777777" w:rsidR="00136F89" w:rsidRPr="00AE1778" w:rsidRDefault="0090020D">
            <w:pPr>
              <w:jc w:val="center"/>
              <w:rPr>
                <w:rFonts w:ascii="Times New Roman" w:hAnsi="Times New Roman" w:cs="Times New Roman"/>
                <w:color w:val="000000"/>
                <w:kern w:val="0"/>
                <w:sz w:val="21"/>
                <w:szCs w:val="21"/>
              </w:rPr>
            </w:pPr>
            <w:r w:rsidRPr="00AE1778">
              <w:rPr>
                <w:rFonts w:ascii="Times New Roman" w:hAnsi="Times New Roman" w:cs="Times New Roman"/>
                <w:color w:val="000000"/>
                <w:kern w:val="0"/>
                <w:sz w:val="21"/>
                <w:szCs w:val="21"/>
              </w:rPr>
              <w:t>标准偏差</w:t>
            </w:r>
          </w:p>
        </w:tc>
        <w:tc>
          <w:tcPr>
            <w:tcW w:w="3180" w:type="dxa"/>
            <w:gridSpan w:val="3"/>
            <w:tcBorders>
              <w:top w:val="single" w:sz="4" w:space="0" w:color="auto"/>
              <w:left w:val="nil"/>
              <w:bottom w:val="single" w:sz="4" w:space="0" w:color="auto"/>
              <w:right w:val="single" w:sz="4" w:space="0" w:color="auto"/>
            </w:tcBorders>
            <w:noWrap/>
            <w:vAlign w:val="center"/>
          </w:tcPr>
          <w:p w14:paraId="1D79514C" w14:textId="77777777" w:rsidR="00136F89" w:rsidRPr="00AE1778" w:rsidRDefault="0090020D">
            <w:pPr>
              <w:jc w:val="center"/>
              <w:rPr>
                <w:rFonts w:ascii="Times New Roman" w:hAnsi="Times New Roman" w:cs="Times New Roman"/>
                <w:color w:val="000000"/>
                <w:kern w:val="0"/>
                <w:sz w:val="21"/>
                <w:szCs w:val="21"/>
              </w:rPr>
            </w:pPr>
            <w:r w:rsidRPr="00AE1778">
              <w:rPr>
                <w:rFonts w:ascii="Times New Roman" w:hAnsi="Times New Roman" w:cs="Times New Roman"/>
                <w:color w:val="000000"/>
                <w:kern w:val="0"/>
                <w:sz w:val="21"/>
                <w:szCs w:val="21"/>
              </w:rPr>
              <w:t>探测限</w:t>
            </w:r>
          </w:p>
        </w:tc>
      </w:tr>
      <w:tr w:rsidR="00136F89" w:rsidRPr="00AE1778" w14:paraId="75CBAD19" w14:textId="77777777">
        <w:trPr>
          <w:trHeight w:val="258"/>
          <w:jc w:val="center"/>
        </w:trPr>
        <w:tc>
          <w:tcPr>
            <w:tcW w:w="992" w:type="dxa"/>
            <w:vMerge/>
            <w:tcBorders>
              <w:left w:val="single" w:sz="4" w:space="0" w:color="auto"/>
              <w:bottom w:val="single" w:sz="4" w:space="0" w:color="auto"/>
              <w:right w:val="single" w:sz="4" w:space="0" w:color="auto"/>
            </w:tcBorders>
            <w:noWrap/>
            <w:vAlign w:val="center"/>
          </w:tcPr>
          <w:p w14:paraId="2AE9CDE0" w14:textId="77777777" w:rsidR="00136F89" w:rsidRPr="00AE1778" w:rsidRDefault="00136F89">
            <w:pPr>
              <w:jc w:val="center"/>
              <w:rPr>
                <w:rFonts w:ascii="Times New Roman" w:eastAsia="等线" w:hAnsi="Times New Roman" w:cs="Times New Roman"/>
                <w:color w:val="000000"/>
                <w:kern w:val="0"/>
                <w:sz w:val="21"/>
                <w:szCs w:val="21"/>
              </w:rPr>
            </w:pPr>
          </w:p>
        </w:tc>
        <w:tc>
          <w:tcPr>
            <w:tcW w:w="849" w:type="dxa"/>
            <w:vMerge/>
            <w:tcBorders>
              <w:left w:val="nil"/>
              <w:bottom w:val="single" w:sz="4" w:space="0" w:color="auto"/>
              <w:right w:val="nil"/>
            </w:tcBorders>
          </w:tcPr>
          <w:p w14:paraId="668BC8B7" w14:textId="77777777" w:rsidR="00136F89" w:rsidRPr="00AE1778" w:rsidRDefault="00136F89">
            <w:pPr>
              <w:jc w:val="center"/>
              <w:rPr>
                <w:rFonts w:ascii="Times New Roman" w:eastAsia="等线" w:hAnsi="Times New Roman" w:cs="Times New Roman"/>
                <w:color w:val="000000"/>
                <w:kern w:val="0"/>
                <w:sz w:val="21"/>
                <w:szCs w:val="21"/>
              </w:rPr>
            </w:pPr>
          </w:p>
        </w:tc>
        <w:tc>
          <w:tcPr>
            <w:tcW w:w="1060" w:type="dxa"/>
            <w:vMerge/>
            <w:tcBorders>
              <w:left w:val="nil"/>
              <w:bottom w:val="single" w:sz="4" w:space="0" w:color="auto"/>
              <w:right w:val="single" w:sz="4" w:space="0" w:color="auto"/>
            </w:tcBorders>
            <w:noWrap/>
            <w:vAlign w:val="center"/>
          </w:tcPr>
          <w:p w14:paraId="1B9FF31E" w14:textId="77777777" w:rsidR="00136F89" w:rsidRPr="00AE1778" w:rsidRDefault="00136F89">
            <w:pPr>
              <w:jc w:val="center"/>
              <w:rPr>
                <w:rFonts w:ascii="Times New Roman" w:eastAsia="等线" w:hAnsi="Times New Roman" w:cs="Times New Roman"/>
                <w:color w:val="000000"/>
                <w:kern w:val="0"/>
                <w:sz w:val="21"/>
                <w:szCs w:val="21"/>
              </w:rPr>
            </w:pPr>
          </w:p>
        </w:tc>
        <w:tc>
          <w:tcPr>
            <w:tcW w:w="1024" w:type="dxa"/>
            <w:tcBorders>
              <w:top w:val="nil"/>
              <w:left w:val="nil"/>
              <w:bottom w:val="single" w:sz="4" w:space="0" w:color="auto"/>
              <w:right w:val="single" w:sz="4" w:space="0" w:color="auto"/>
            </w:tcBorders>
            <w:noWrap/>
            <w:vAlign w:val="center"/>
          </w:tcPr>
          <w:p w14:paraId="623E892F"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TC(Ur)</w:t>
            </w:r>
          </w:p>
        </w:tc>
        <w:tc>
          <w:tcPr>
            <w:tcW w:w="1150" w:type="dxa"/>
            <w:tcBorders>
              <w:top w:val="nil"/>
              <w:left w:val="nil"/>
              <w:bottom w:val="single" w:sz="4" w:space="0" w:color="auto"/>
              <w:right w:val="single" w:sz="4" w:space="0" w:color="auto"/>
            </w:tcBorders>
            <w:noWrap/>
            <w:vAlign w:val="center"/>
          </w:tcPr>
          <w:p w14:paraId="1421AE43" w14:textId="77777777" w:rsidR="00136F89" w:rsidRPr="00AE1778" w:rsidRDefault="0090020D">
            <w:pPr>
              <w:jc w:val="center"/>
              <w:rPr>
                <w:rFonts w:ascii="Times New Roman" w:eastAsia="等线" w:hAnsi="Times New Roman" w:cs="Times New Roman"/>
                <w:color w:val="000000"/>
                <w:kern w:val="0"/>
                <w:sz w:val="21"/>
                <w:szCs w:val="21"/>
              </w:rPr>
            </w:pPr>
            <w:proofErr w:type="spellStart"/>
            <w:r w:rsidRPr="00AE1778">
              <w:rPr>
                <w:rFonts w:ascii="Times New Roman" w:eastAsia="等线" w:hAnsi="Times New Roman" w:cs="Times New Roman"/>
                <w:color w:val="000000"/>
                <w:kern w:val="0"/>
                <w:sz w:val="21"/>
                <w:szCs w:val="21"/>
              </w:rPr>
              <w:t>eU</w:t>
            </w:r>
            <w:proofErr w:type="spellEnd"/>
            <w:r w:rsidRPr="00AE1778">
              <w:rPr>
                <w:rFonts w:ascii="Times New Roman" w:eastAsia="等线" w:hAnsi="Times New Roman" w:cs="Times New Roman"/>
                <w:color w:val="000000"/>
                <w:kern w:val="0"/>
                <w:sz w:val="21"/>
                <w:szCs w:val="21"/>
              </w:rPr>
              <w:t>(10</w:t>
            </w:r>
            <w:r w:rsidRPr="00AE1778">
              <w:rPr>
                <w:rFonts w:ascii="Times New Roman" w:eastAsia="等线" w:hAnsi="Times New Roman" w:cs="Times New Roman"/>
                <w:color w:val="000000"/>
                <w:kern w:val="0"/>
                <w:sz w:val="21"/>
                <w:szCs w:val="21"/>
                <w:vertAlign w:val="superscript"/>
              </w:rPr>
              <w:t>-6</w:t>
            </w:r>
            <w:r w:rsidRPr="00AE1778">
              <w:rPr>
                <w:rFonts w:ascii="Times New Roman" w:eastAsia="等线" w:hAnsi="Times New Roman" w:cs="Times New Roman"/>
                <w:color w:val="000000"/>
                <w:kern w:val="0"/>
                <w:sz w:val="21"/>
                <w:szCs w:val="21"/>
              </w:rPr>
              <w:t>)</w:t>
            </w:r>
          </w:p>
        </w:tc>
        <w:tc>
          <w:tcPr>
            <w:tcW w:w="1006" w:type="dxa"/>
            <w:tcBorders>
              <w:top w:val="nil"/>
              <w:left w:val="nil"/>
              <w:bottom w:val="single" w:sz="4" w:space="0" w:color="auto"/>
              <w:right w:val="single" w:sz="4" w:space="0" w:color="auto"/>
            </w:tcBorders>
            <w:noWrap/>
            <w:vAlign w:val="center"/>
          </w:tcPr>
          <w:p w14:paraId="6B27002D"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U(10</w:t>
            </w:r>
            <w:r w:rsidRPr="00AE1778">
              <w:rPr>
                <w:rFonts w:ascii="Times New Roman" w:eastAsia="等线" w:hAnsi="Times New Roman" w:cs="Times New Roman"/>
                <w:color w:val="000000"/>
                <w:kern w:val="0"/>
                <w:sz w:val="21"/>
                <w:szCs w:val="21"/>
                <w:vertAlign w:val="superscript"/>
              </w:rPr>
              <w:t>-6</w:t>
            </w:r>
            <w:r w:rsidRPr="00AE1778">
              <w:rPr>
                <w:rFonts w:ascii="Times New Roman" w:eastAsia="等线" w:hAnsi="Times New Roman" w:cs="Times New Roman"/>
                <w:color w:val="000000"/>
                <w:kern w:val="0"/>
                <w:sz w:val="21"/>
                <w:szCs w:val="21"/>
              </w:rPr>
              <w:t>)</w:t>
            </w:r>
          </w:p>
        </w:tc>
        <w:tc>
          <w:tcPr>
            <w:tcW w:w="975" w:type="dxa"/>
            <w:tcBorders>
              <w:top w:val="nil"/>
              <w:left w:val="nil"/>
              <w:bottom w:val="single" w:sz="4" w:space="0" w:color="auto"/>
              <w:right w:val="single" w:sz="4" w:space="0" w:color="auto"/>
            </w:tcBorders>
            <w:noWrap/>
            <w:vAlign w:val="center"/>
          </w:tcPr>
          <w:p w14:paraId="523EB542"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TC(Ur)</w:t>
            </w:r>
          </w:p>
        </w:tc>
        <w:tc>
          <w:tcPr>
            <w:tcW w:w="1094" w:type="dxa"/>
            <w:tcBorders>
              <w:top w:val="nil"/>
              <w:left w:val="nil"/>
              <w:bottom w:val="single" w:sz="4" w:space="0" w:color="auto"/>
              <w:right w:val="single" w:sz="4" w:space="0" w:color="auto"/>
            </w:tcBorders>
            <w:noWrap/>
            <w:vAlign w:val="center"/>
          </w:tcPr>
          <w:p w14:paraId="4ABC8901" w14:textId="77777777" w:rsidR="00136F89" w:rsidRPr="00AE1778" w:rsidRDefault="0090020D">
            <w:pPr>
              <w:jc w:val="center"/>
              <w:rPr>
                <w:rFonts w:ascii="Times New Roman" w:eastAsia="等线" w:hAnsi="Times New Roman" w:cs="Times New Roman"/>
                <w:color w:val="000000"/>
                <w:kern w:val="0"/>
                <w:sz w:val="21"/>
                <w:szCs w:val="21"/>
              </w:rPr>
            </w:pPr>
            <w:proofErr w:type="spellStart"/>
            <w:r w:rsidRPr="00AE1778">
              <w:rPr>
                <w:rFonts w:ascii="Times New Roman" w:eastAsia="等线" w:hAnsi="Times New Roman" w:cs="Times New Roman"/>
                <w:color w:val="000000"/>
                <w:kern w:val="0"/>
                <w:sz w:val="21"/>
                <w:szCs w:val="21"/>
              </w:rPr>
              <w:t>eU</w:t>
            </w:r>
            <w:proofErr w:type="spellEnd"/>
            <w:r w:rsidRPr="00AE1778">
              <w:rPr>
                <w:rFonts w:ascii="Times New Roman" w:eastAsia="等线" w:hAnsi="Times New Roman" w:cs="Times New Roman"/>
                <w:color w:val="000000"/>
                <w:kern w:val="0"/>
                <w:sz w:val="21"/>
                <w:szCs w:val="21"/>
              </w:rPr>
              <w:t>(10</w:t>
            </w:r>
            <w:r w:rsidRPr="00AE1778">
              <w:rPr>
                <w:rFonts w:ascii="Times New Roman" w:eastAsia="等线" w:hAnsi="Times New Roman" w:cs="Times New Roman"/>
                <w:color w:val="000000"/>
                <w:kern w:val="0"/>
                <w:sz w:val="21"/>
                <w:szCs w:val="21"/>
                <w:vertAlign w:val="superscript"/>
              </w:rPr>
              <w:t>-6</w:t>
            </w:r>
            <w:r w:rsidRPr="00AE1778">
              <w:rPr>
                <w:rFonts w:ascii="Times New Roman" w:eastAsia="等线" w:hAnsi="Times New Roman" w:cs="Times New Roman"/>
                <w:color w:val="000000"/>
                <w:kern w:val="0"/>
                <w:sz w:val="21"/>
                <w:szCs w:val="21"/>
              </w:rPr>
              <w:t>)</w:t>
            </w:r>
          </w:p>
        </w:tc>
        <w:tc>
          <w:tcPr>
            <w:tcW w:w="1111" w:type="dxa"/>
            <w:tcBorders>
              <w:top w:val="nil"/>
              <w:left w:val="nil"/>
              <w:bottom w:val="single" w:sz="4" w:space="0" w:color="auto"/>
              <w:right w:val="single" w:sz="4" w:space="0" w:color="auto"/>
            </w:tcBorders>
            <w:noWrap/>
            <w:vAlign w:val="center"/>
          </w:tcPr>
          <w:p w14:paraId="3DE0D802" w14:textId="77777777" w:rsidR="00136F89" w:rsidRPr="00AE1778" w:rsidRDefault="0090020D">
            <w:pPr>
              <w:jc w:val="center"/>
              <w:rPr>
                <w:rFonts w:ascii="Times New Roman" w:eastAsia="等线" w:hAnsi="Times New Roman" w:cs="Times New Roman"/>
                <w:color w:val="000000"/>
                <w:kern w:val="0"/>
                <w:sz w:val="21"/>
                <w:szCs w:val="21"/>
              </w:rPr>
            </w:pPr>
            <w:proofErr w:type="spellStart"/>
            <w:r w:rsidRPr="00AE1778">
              <w:rPr>
                <w:rFonts w:ascii="Times New Roman" w:eastAsia="等线" w:hAnsi="Times New Roman" w:cs="Times New Roman"/>
                <w:color w:val="000000"/>
                <w:kern w:val="0"/>
                <w:sz w:val="21"/>
                <w:szCs w:val="21"/>
              </w:rPr>
              <w:t>pU</w:t>
            </w:r>
            <w:proofErr w:type="spellEnd"/>
            <w:r w:rsidRPr="00AE1778">
              <w:rPr>
                <w:rFonts w:ascii="Times New Roman" w:eastAsia="等线" w:hAnsi="Times New Roman" w:cs="Times New Roman"/>
                <w:color w:val="000000"/>
                <w:kern w:val="0"/>
                <w:sz w:val="21"/>
                <w:szCs w:val="21"/>
              </w:rPr>
              <w:t>(10</w:t>
            </w:r>
            <w:r w:rsidRPr="00AE1778">
              <w:rPr>
                <w:rFonts w:ascii="Times New Roman" w:eastAsia="等线" w:hAnsi="Times New Roman" w:cs="Times New Roman"/>
                <w:color w:val="000000"/>
                <w:kern w:val="0"/>
                <w:sz w:val="21"/>
                <w:szCs w:val="21"/>
                <w:vertAlign w:val="superscript"/>
              </w:rPr>
              <w:t>-6</w:t>
            </w:r>
            <w:r w:rsidRPr="00AE1778">
              <w:rPr>
                <w:rFonts w:ascii="Times New Roman" w:eastAsia="等线" w:hAnsi="Times New Roman" w:cs="Times New Roman"/>
                <w:color w:val="000000"/>
                <w:kern w:val="0"/>
                <w:sz w:val="21"/>
                <w:szCs w:val="21"/>
              </w:rPr>
              <w:t>)</w:t>
            </w:r>
          </w:p>
        </w:tc>
      </w:tr>
      <w:tr w:rsidR="00136F89" w:rsidRPr="00AE1778" w14:paraId="76AC6A7F" w14:textId="77777777">
        <w:trPr>
          <w:trHeight w:val="228"/>
          <w:jc w:val="center"/>
        </w:trPr>
        <w:tc>
          <w:tcPr>
            <w:tcW w:w="992" w:type="dxa"/>
            <w:tcBorders>
              <w:top w:val="nil"/>
              <w:left w:val="single" w:sz="4" w:space="0" w:color="auto"/>
              <w:bottom w:val="single" w:sz="4" w:space="0" w:color="auto"/>
              <w:right w:val="single" w:sz="4" w:space="0" w:color="auto"/>
            </w:tcBorders>
            <w:noWrap/>
            <w:vAlign w:val="center"/>
          </w:tcPr>
          <w:p w14:paraId="21BC9943"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Lcn0210</w:t>
            </w:r>
          </w:p>
        </w:tc>
        <w:tc>
          <w:tcPr>
            <w:tcW w:w="849" w:type="dxa"/>
            <w:tcBorders>
              <w:top w:val="nil"/>
              <w:left w:val="nil"/>
              <w:bottom w:val="single" w:sz="4" w:space="0" w:color="auto"/>
              <w:right w:val="nil"/>
            </w:tcBorders>
            <w:vAlign w:val="center"/>
          </w:tcPr>
          <w:p w14:paraId="5B505882"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47</w:t>
            </w:r>
          </w:p>
        </w:tc>
        <w:tc>
          <w:tcPr>
            <w:tcW w:w="1060" w:type="dxa"/>
            <w:tcBorders>
              <w:top w:val="nil"/>
              <w:left w:val="nil"/>
              <w:bottom w:val="single" w:sz="4" w:space="0" w:color="auto"/>
              <w:right w:val="single" w:sz="4" w:space="0" w:color="auto"/>
            </w:tcBorders>
            <w:noWrap/>
            <w:vAlign w:val="center"/>
          </w:tcPr>
          <w:p w14:paraId="346063C5"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1.06 </w:t>
            </w:r>
          </w:p>
        </w:tc>
        <w:tc>
          <w:tcPr>
            <w:tcW w:w="1024" w:type="dxa"/>
            <w:tcBorders>
              <w:top w:val="nil"/>
              <w:left w:val="nil"/>
              <w:bottom w:val="single" w:sz="4" w:space="0" w:color="auto"/>
              <w:right w:val="single" w:sz="4" w:space="0" w:color="auto"/>
            </w:tcBorders>
            <w:noWrap/>
            <w:vAlign w:val="center"/>
          </w:tcPr>
          <w:p w14:paraId="70E04FA9"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2.98 </w:t>
            </w:r>
          </w:p>
        </w:tc>
        <w:tc>
          <w:tcPr>
            <w:tcW w:w="1150" w:type="dxa"/>
            <w:tcBorders>
              <w:top w:val="nil"/>
              <w:left w:val="nil"/>
              <w:bottom w:val="single" w:sz="4" w:space="0" w:color="auto"/>
              <w:right w:val="single" w:sz="4" w:space="0" w:color="auto"/>
            </w:tcBorders>
            <w:noWrap/>
            <w:vAlign w:val="center"/>
          </w:tcPr>
          <w:p w14:paraId="685CF117"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3.65 </w:t>
            </w:r>
          </w:p>
        </w:tc>
        <w:tc>
          <w:tcPr>
            <w:tcW w:w="1006" w:type="dxa"/>
            <w:tcBorders>
              <w:top w:val="nil"/>
              <w:left w:val="nil"/>
              <w:bottom w:val="single" w:sz="4" w:space="0" w:color="auto"/>
              <w:right w:val="single" w:sz="4" w:space="0" w:color="auto"/>
            </w:tcBorders>
            <w:noWrap/>
            <w:vAlign w:val="center"/>
          </w:tcPr>
          <w:p w14:paraId="5099F25F"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5.32 </w:t>
            </w:r>
          </w:p>
        </w:tc>
        <w:tc>
          <w:tcPr>
            <w:tcW w:w="975" w:type="dxa"/>
            <w:tcBorders>
              <w:top w:val="nil"/>
              <w:left w:val="nil"/>
              <w:bottom w:val="single" w:sz="4" w:space="0" w:color="auto"/>
              <w:right w:val="single" w:sz="4" w:space="0" w:color="auto"/>
            </w:tcBorders>
            <w:noWrap/>
            <w:vAlign w:val="center"/>
          </w:tcPr>
          <w:p w14:paraId="3CF3F962"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12.5 </w:t>
            </w:r>
          </w:p>
        </w:tc>
        <w:tc>
          <w:tcPr>
            <w:tcW w:w="1094" w:type="dxa"/>
            <w:tcBorders>
              <w:top w:val="nil"/>
              <w:left w:val="nil"/>
              <w:bottom w:val="single" w:sz="4" w:space="0" w:color="auto"/>
              <w:right w:val="single" w:sz="4" w:space="0" w:color="auto"/>
            </w:tcBorders>
            <w:noWrap/>
            <w:vAlign w:val="center"/>
          </w:tcPr>
          <w:p w14:paraId="76B2FA64"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14.7 </w:t>
            </w:r>
          </w:p>
        </w:tc>
        <w:tc>
          <w:tcPr>
            <w:tcW w:w="1111" w:type="dxa"/>
            <w:tcBorders>
              <w:top w:val="nil"/>
              <w:left w:val="nil"/>
              <w:bottom w:val="single" w:sz="4" w:space="0" w:color="auto"/>
              <w:right w:val="single" w:sz="4" w:space="0" w:color="auto"/>
            </w:tcBorders>
            <w:noWrap/>
            <w:vAlign w:val="center"/>
          </w:tcPr>
          <w:p w14:paraId="4B3CCDB5"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20.2 </w:t>
            </w:r>
          </w:p>
        </w:tc>
      </w:tr>
      <w:tr w:rsidR="00136F89" w:rsidRPr="00AE1778" w14:paraId="1374D21E" w14:textId="77777777">
        <w:trPr>
          <w:trHeight w:val="228"/>
          <w:jc w:val="center"/>
        </w:trPr>
        <w:tc>
          <w:tcPr>
            <w:tcW w:w="992" w:type="dxa"/>
            <w:tcBorders>
              <w:top w:val="nil"/>
              <w:left w:val="single" w:sz="4" w:space="0" w:color="auto"/>
              <w:bottom w:val="single" w:sz="4" w:space="0" w:color="auto"/>
              <w:right w:val="single" w:sz="4" w:space="0" w:color="auto"/>
            </w:tcBorders>
            <w:noWrap/>
            <w:vAlign w:val="center"/>
          </w:tcPr>
          <w:p w14:paraId="4F7E90DB"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Lcn0220</w:t>
            </w:r>
          </w:p>
        </w:tc>
        <w:tc>
          <w:tcPr>
            <w:tcW w:w="849" w:type="dxa"/>
            <w:tcBorders>
              <w:top w:val="nil"/>
              <w:left w:val="nil"/>
              <w:bottom w:val="single" w:sz="4" w:space="0" w:color="auto"/>
              <w:right w:val="nil"/>
            </w:tcBorders>
            <w:vAlign w:val="center"/>
          </w:tcPr>
          <w:p w14:paraId="4588122D"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43</w:t>
            </w:r>
          </w:p>
        </w:tc>
        <w:tc>
          <w:tcPr>
            <w:tcW w:w="1060" w:type="dxa"/>
            <w:tcBorders>
              <w:top w:val="nil"/>
              <w:left w:val="nil"/>
              <w:bottom w:val="single" w:sz="4" w:space="0" w:color="auto"/>
              <w:right w:val="single" w:sz="4" w:space="0" w:color="auto"/>
            </w:tcBorders>
            <w:noWrap/>
            <w:vAlign w:val="center"/>
          </w:tcPr>
          <w:p w14:paraId="102E226A"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1.92 </w:t>
            </w:r>
          </w:p>
        </w:tc>
        <w:tc>
          <w:tcPr>
            <w:tcW w:w="1024" w:type="dxa"/>
            <w:tcBorders>
              <w:top w:val="nil"/>
              <w:left w:val="nil"/>
              <w:bottom w:val="single" w:sz="4" w:space="0" w:color="auto"/>
              <w:right w:val="single" w:sz="4" w:space="0" w:color="auto"/>
            </w:tcBorders>
            <w:noWrap/>
            <w:vAlign w:val="center"/>
          </w:tcPr>
          <w:p w14:paraId="54EAFCB8"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2.89 </w:t>
            </w:r>
          </w:p>
        </w:tc>
        <w:tc>
          <w:tcPr>
            <w:tcW w:w="1150" w:type="dxa"/>
            <w:tcBorders>
              <w:top w:val="nil"/>
              <w:left w:val="nil"/>
              <w:bottom w:val="single" w:sz="4" w:space="0" w:color="auto"/>
              <w:right w:val="single" w:sz="4" w:space="0" w:color="auto"/>
            </w:tcBorders>
            <w:noWrap/>
            <w:vAlign w:val="center"/>
          </w:tcPr>
          <w:p w14:paraId="55EE123B"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3.99 </w:t>
            </w:r>
          </w:p>
        </w:tc>
        <w:tc>
          <w:tcPr>
            <w:tcW w:w="1006" w:type="dxa"/>
            <w:tcBorders>
              <w:top w:val="nil"/>
              <w:left w:val="nil"/>
              <w:bottom w:val="single" w:sz="4" w:space="0" w:color="auto"/>
              <w:right w:val="single" w:sz="4" w:space="0" w:color="auto"/>
            </w:tcBorders>
            <w:noWrap/>
            <w:vAlign w:val="center"/>
          </w:tcPr>
          <w:p w14:paraId="293E5726"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8.43 </w:t>
            </w:r>
          </w:p>
        </w:tc>
        <w:tc>
          <w:tcPr>
            <w:tcW w:w="975" w:type="dxa"/>
            <w:tcBorders>
              <w:top w:val="nil"/>
              <w:left w:val="nil"/>
              <w:bottom w:val="single" w:sz="4" w:space="0" w:color="auto"/>
              <w:right w:val="single" w:sz="4" w:space="0" w:color="auto"/>
            </w:tcBorders>
            <w:noWrap/>
            <w:vAlign w:val="center"/>
          </w:tcPr>
          <w:p w14:paraId="57A20DFE"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12.2 </w:t>
            </w:r>
          </w:p>
        </w:tc>
        <w:tc>
          <w:tcPr>
            <w:tcW w:w="1094" w:type="dxa"/>
            <w:tcBorders>
              <w:top w:val="nil"/>
              <w:left w:val="nil"/>
              <w:bottom w:val="single" w:sz="4" w:space="0" w:color="auto"/>
              <w:right w:val="single" w:sz="4" w:space="0" w:color="auto"/>
            </w:tcBorders>
            <w:noWrap/>
            <w:vAlign w:val="center"/>
          </w:tcPr>
          <w:p w14:paraId="7EFFA428"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15.8 </w:t>
            </w:r>
          </w:p>
        </w:tc>
        <w:tc>
          <w:tcPr>
            <w:tcW w:w="1111" w:type="dxa"/>
            <w:tcBorders>
              <w:top w:val="nil"/>
              <w:left w:val="nil"/>
              <w:bottom w:val="single" w:sz="4" w:space="0" w:color="auto"/>
              <w:right w:val="single" w:sz="4" w:space="0" w:color="auto"/>
            </w:tcBorders>
            <w:noWrap/>
            <w:vAlign w:val="center"/>
          </w:tcPr>
          <w:p w14:paraId="30499F66"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30.4 </w:t>
            </w:r>
          </w:p>
        </w:tc>
      </w:tr>
      <w:tr w:rsidR="00136F89" w:rsidRPr="00AE1778" w14:paraId="171E7B59" w14:textId="77777777">
        <w:trPr>
          <w:trHeight w:val="228"/>
          <w:jc w:val="center"/>
        </w:trPr>
        <w:tc>
          <w:tcPr>
            <w:tcW w:w="992" w:type="dxa"/>
            <w:tcBorders>
              <w:top w:val="nil"/>
              <w:left w:val="single" w:sz="4" w:space="0" w:color="auto"/>
              <w:bottom w:val="single" w:sz="4" w:space="0" w:color="auto"/>
              <w:right w:val="single" w:sz="4" w:space="0" w:color="auto"/>
            </w:tcBorders>
            <w:noWrap/>
            <w:vAlign w:val="center"/>
          </w:tcPr>
          <w:p w14:paraId="03AD7602"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Lcn0230</w:t>
            </w:r>
          </w:p>
        </w:tc>
        <w:tc>
          <w:tcPr>
            <w:tcW w:w="849" w:type="dxa"/>
            <w:tcBorders>
              <w:top w:val="nil"/>
              <w:left w:val="nil"/>
              <w:bottom w:val="single" w:sz="4" w:space="0" w:color="auto"/>
              <w:right w:val="nil"/>
            </w:tcBorders>
            <w:vAlign w:val="center"/>
          </w:tcPr>
          <w:p w14:paraId="3094EB8A"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41</w:t>
            </w:r>
          </w:p>
        </w:tc>
        <w:tc>
          <w:tcPr>
            <w:tcW w:w="1060" w:type="dxa"/>
            <w:tcBorders>
              <w:top w:val="nil"/>
              <w:left w:val="nil"/>
              <w:bottom w:val="single" w:sz="4" w:space="0" w:color="auto"/>
              <w:right w:val="single" w:sz="4" w:space="0" w:color="auto"/>
            </w:tcBorders>
            <w:noWrap/>
            <w:vAlign w:val="center"/>
          </w:tcPr>
          <w:p w14:paraId="5C1CEB8B"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3.13 </w:t>
            </w:r>
          </w:p>
        </w:tc>
        <w:tc>
          <w:tcPr>
            <w:tcW w:w="1024" w:type="dxa"/>
            <w:tcBorders>
              <w:top w:val="nil"/>
              <w:left w:val="nil"/>
              <w:bottom w:val="single" w:sz="4" w:space="0" w:color="auto"/>
              <w:right w:val="single" w:sz="4" w:space="0" w:color="auto"/>
            </w:tcBorders>
            <w:noWrap/>
            <w:vAlign w:val="center"/>
          </w:tcPr>
          <w:p w14:paraId="5C85083D"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3.07 </w:t>
            </w:r>
          </w:p>
        </w:tc>
        <w:tc>
          <w:tcPr>
            <w:tcW w:w="1150" w:type="dxa"/>
            <w:tcBorders>
              <w:top w:val="nil"/>
              <w:left w:val="nil"/>
              <w:bottom w:val="single" w:sz="4" w:space="0" w:color="auto"/>
              <w:right w:val="single" w:sz="4" w:space="0" w:color="auto"/>
            </w:tcBorders>
            <w:noWrap/>
            <w:vAlign w:val="center"/>
          </w:tcPr>
          <w:p w14:paraId="7699F6B5"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6.67 </w:t>
            </w:r>
          </w:p>
        </w:tc>
        <w:tc>
          <w:tcPr>
            <w:tcW w:w="1006" w:type="dxa"/>
            <w:tcBorders>
              <w:top w:val="nil"/>
              <w:left w:val="nil"/>
              <w:bottom w:val="single" w:sz="4" w:space="0" w:color="auto"/>
              <w:right w:val="single" w:sz="4" w:space="0" w:color="auto"/>
            </w:tcBorders>
            <w:noWrap/>
            <w:vAlign w:val="center"/>
          </w:tcPr>
          <w:p w14:paraId="0B9A62D6"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9.55 </w:t>
            </w:r>
          </w:p>
        </w:tc>
        <w:tc>
          <w:tcPr>
            <w:tcW w:w="975" w:type="dxa"/>
            <w:tcBorders>
              <w:top w:val="nil"/>
              <w:left w:val="nil"/>
              <w:bottom w:val="single" w:sz="4" w:space="0" w:color="auto"/>
              <w:right w:val="single" w:sz="4" w:space="0" w:color="auto"/>
            </w:tcBorders>
            <w:noWrap/>
            <w:vAlign w:val="center"/>
          </w:tcPr>
          <w:p w14:paraId="3CCE6091"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12.8 </w:t>
            </w:r>
          </w:p>
        </w:tc>
        <w:tc>
          <w:tcPr>
            <w:tcW w:w="1094" w:type="dxa"/>
            <w:tcBorders>
              <w:top w:val="nil"/>
              <w:left w:val="nil"/>
              <w:bottom w:val="single" w:sz="4" w:space="0" w:color="auto"/>
              <w:right w:val="single" w:sz="4" w:space="0" w:color="auto"/>
            </w:tcBorders>
            <w:noWrap/>
            <w:vAlign w:val="center"/>
          </w:tcPr>
          <w:p w14:paraId="545B76B0"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24.6 </w:t>
            </w:r>
          </w:p>
        </w:tc>
        <w:tc>
          <w:tcPr>
            <w:tcW w:w="1111" w:type="dxa"/>
            <w:tcBorders>
              <w:top w:val="nil"/>
              <w:left w:val="nil"/>
              <w:bottom w:val="single" w:sz="4" w:space="0" w:color="auto"/>
              <w:right w:val="single" w:sz="4" w:space="0" w:color="auto"/>
            </w:tcBorders>
            <w:noWrap/>
            <w:vAlign w:val="center"/>
          </w:tcPr>
          <w:p w14:paraId="53E519E0"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34.1 </w:t>
            </w:r>
          </w:p>
        </w:tc>
      </w:tr>
      <w:tr w:rsidR="00136F89" w:rsidRPr="00AE1778" w14:paraId="49787CFF" w14:textId="77777777">
        <w:trPr>
          <w:trHeight w:val="228"/>
          <w:jc w:val="center"/>
        </w:trPr>
        <w:tc>
          <w:tcPr>
            <w:tcW w:w="992" w:type="dxa"/>
            <w:tcBorders>
              <w:top w:val="nil"/>
              <w:left w:val="single" w:sz="4" w:space="0" w:color="auto"/>
              <w:bottom w:val="single" w:sz="4" w:space="0" w:color="auto"/>
              <w:right w:val="single" w:sz="4" w:space="0" w:color="auto"/>
            </w:tcBorders>
            <w:noWrap/>
            <w:vAlign w:val="center"/>
          </w:tcPr>
          <w:p w14:paraId="076EB810"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Lcn0260</w:t>
            </w:r>
          </w:p>
        </w:tc>
        <w:tc>
          <w:tcPr>
            <w:tcW w:w="849" w:type="dxa"/>
            <w:tcBorders>
              <w:top w:val="nil"/>
              <w:left w:val="nil"/>
              <w:bottom w:val="single" w:sz="4" w:space="0" w:color="auto"/>
              <w:right w:val="nil"/>
            </w:tcBorders>
            <w:vAlign w:val="center"/>
          </w:tcPr>
          <w:p w14:paraId="3D97F02A"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34</w:t>
            </w:r>
          </w:p>
        </w:tc>
        <w:tc>
          <w:tcPr>
            <w:tcW w:w="1060" w:type="dxa"/>
            <w:tcBorders>
              <w:top w:val="nil"/>
              <w:left w:val="nil"/>
              <w:bottom w:val="single" w:sz="4" w:space="0" w:color="auto"/>
              <w:right w:val="single" w:sz="4" w:space="0" w:color="auto"/>
            </w:tcBorders>
            <w:noWrap/>
            <w:vAlign w:val="center"/>
          </w:tcPr>
          <w:p w14:paraId="08E55780"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6.67 </w:t>
            </w:r>
          </w:p>
        </w:tc>
        <w:tc>
          <w:tcPr>
            <w:tcW w:w="1024" w:type="dxa"/>
            <w:tcBorders>
              <w:top w:val="nil"/>
              <w:left w:val="nil"/>
              <w:bottom w:val="single" w:sz="4" w:space="0" w:color="auto"/>
              <w:right w:val="single" w:sz="4" w:space="0" w:color="auto"/>
            </w:tcBorders>
            <w:noWrap/>
            <w:vAlign w:val="center"/>
          </w:tcPr>
          <w:p w14:paraId="615A6D9D"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3.40 </w:t>
            </w:r>
          </w:p>
        </w:tc>
        <w:tc>
          <w:tcPr>
            <w:tcW w:w="1150" w:type="dxa"/>
            <w:tcBorders>
              <w:top w:val="nil"/>
              <w:left w:val="nil"/>
              <w:bottom w:val="single" w:sz="4" w:space="0" w:color="auto"/>
              <w:right w:val="single" w:sz="4" w:space="0" w:color="auto"/>
            </w:tcBorders>
            <w:noWrap/>
            <w:vAlign w:val="center"/>
          </w:tcPr>
          <w:p w14:paraId="652C0F01"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8.08 </w:t>
            </w:r>
          </w:p>
        </w:tc>
        <w:tc>
          <w:tcPr>
            <w:tcW w:w="1006" w:type="dxa"/>
            <w:tcBorders>
              <w:top w:val="nil"/>
              <w:left w:val="nil"/>
              <w:bottom w:val="single" w:sz="4" w:space="0" w:color="auto"/>
              <w:right w:val="single" w:sz="4" w:space="0" w:color="auto"/>
            </w:tcBorders>
            <w:noWrap/>
            <w:vAlign w:val="center"/>
          </w:tcPr>
          <w:p w14:paraId="66487393"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9.68 </w:t>
            </w:r>
          </w:p>
        </w:tc>
        <w:tc>
          <w:tcPr>
            <w:tcW w:w="975" w:type="dxa"/>
            <w:tcBorders>
              <w:top w:val="nil"/>
              <w:left w:val="nil"/>
              <w:bottom w:val="single" w:sz="4" w:space="0" w:color="auto"/>
              <w:right w:val="single" w:sz="4" w:space="0" w:color="auto"/>
            </w:tcBorders>
            <w:noWrap/>
            <w:vAlign w:val="center"/>
          </w:tcPr>
          <w:p w14:paraId="0486C2EB"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13.9 </w:t>
            </w:r>
          </w:p>
        </w:tc>
        <w:tc>
          <w:tcPr>
            <w:tcW w:w="1094" w:type="dxa"/>
            <w:tcBorders>
              <w:top w:val="nil"/>
              <w:left w:val="nil"/>
              <w:bottom w:val="single" w:sz="4" w:space="0" w:color="auto"/>
              <w:right w:val="single" w:sz="4" w:space="0" w:color="auto"/>
            </w:tcBorders>
            <w:noWrap/>
            <w:vAlign w:val="center"/>
          </w:tcPr>
          <w:p w14:paraId="40F07628"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29.3 </w:t>
            </w:r>
          </w:p>
        </w:tc>
        <w:tc>
          <w:tcPr>
            <w:tcW w:w="1111" w:type="dxa"/>
            <w:tcBorders>
              <w:top w:val="nil"/>
              <w:left w:val="nil"/>
              <w:bottom w:val="single" w:sz="4" w:space="0" w:color="auto"/>
              <w:right w:val="single" w:sz="4" w:space="0" w:color="auto"/>
            </w:tcBorders>
            <w:noWrap/>
            <w:vAlign w:val="center"/>
          </w:tcPr>
          <w:p w14:paraId="63F1ACA1"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34.5 </w:t>
            </w:r>
          </w:p>
        </w:tc>
      </w:tr>
      <w:tr w:rsidR="00136F89" w:rsidRPr="00AE1778" w14:paraId="345DEABA" w14:textId="77777777" w:rsidTr="00D528C4">
        <w:trPr>
          <w:trHeight w:val="228"/>
          <w:jc w:val="center"/>
        </w:trPr>
        <w:tc>
          <w:tcPr>
            <w:tcW w:w="992" w:type="dxa"/>
            <w:tcBorders>
              <w:top w:val="nil"/>
              <w:left w:val="single" w:sz="4" w:space="0" w:color="auto"/>
              <w:bottom w:val="nil"/>
              <w:right w:val="single" w:sz="4" w:space="0" w:color="auto"/>
            </w:tcBorders>
            <w:noWrap/>
            <w:vAlign w:val="center"/>
          </w:tcPr>
          <w:p w14:paraId="2E601AAE"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Lcn0280</w:t>
            </w:r>
          </w:p>
        </w:tc>
        <w:tc>
          <w:tcPr>
            <w:tcW w:w="849" w:type="dxa"/>
            <w:tcBorders>
              <w:top w:val="nil"/>
              <w:left w:val="nil"/>
              <w:bottom w:val="nil"/>
              <w:right w:val="nil"/>
            </w:tcBorders>
            <w:vAlign w:val="center"/>
          </w:tcPr>
          <w:p w14:paraId="37EC4919"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30</w:t>
            </w:r>
          </w:p>
        </w:tc>
        <w:tc>
          <w:tcPr>
            <w:tcW w:w="1060" w:type="dxa"/>
            <w:tcBorders>
              <w:top w:val="nil"/>
              <w:left w:val="nil"/>
              <w:bottom w:val="nil"/>
              <w:right w:val="single" w:sz="4" w:space="0" w:color="auto"/>
            </w:tcBorders>
            <w:noWrap/>
            <w:vAlign w:val="center"/>
          </w:tcPr>
          <w:p w14:paraId="7EBD0D49"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9.04 </w:t>
            </w:r>
          </w:p>
        </w:tc>
        <w:tc>
          <w:tcPr>
            <w:tcW w:w="1024" w:type="dxa"/>
            <w:tcBorders>
              <w:top w:val="nil"/>
              <w:left w:val="nil"/>
              <w:bottom w:val="nil"/>
              <w:right w:val="single" w:sz="4" w:space="0" w:color="auto"/>
            </w:tcBorders>
            <w:noWrap/>
            <w:vAlign w:val="center"/>
          </w:tcPr>
          <w:p w14:paraId="35B3951E"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4.17 </w:t>
            </w:r>
          </w:p>
        </w:tc>
        <w:tc>
          <w:tcPr>
            <w:tcW w:w="1150" w:type="dxa"/>
            <w:tcBorders>
              <w:top w:val="nil"/>
              <w:left w:val="nil"/>
              <w:bottom w:val="nil"/>
              <w:right w:val="single" w:sz="4" w:space="0" w:color="auto"/>
            </w:tcBorders>
            <w:noWrap/>
            <w:vAlign w:val="center"/>
          </w:tcPr>
          <w:p w14:paraId="456C7372"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13.35 </w:t>
            </w:r>
          </w:p>
        </w:tc>
        <w:tc>
          <w:tcPr>
            <w:tcW w:w="1006" w:type="dxa"/>
            <w:tcBorders>
              <w:top w:val="nil"/>
              <w:left w:val="nil"/>
              <w:bottom w:val="nil"/>
              <w:right w:val="single" w:sz="4" w:space="0" w:color="auto"/>
            </w:tcBorders>
            <w:noWrap/>
            <w:vAlign w:val="center"/>
          </w:tcPr>
          <w:p w14:paraId="6C95A431"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10.02 </w:t>
            </w:r>
          </w:p>
        </w:tc>
        <w:tc>
          <w:tcPr>
            <w:tcW w:w="975" w:type="dxa"/>
            <w:tcBorders>
              <w:top w:val="nil"/>
              <w:left w:val="nil"/>
              <w:bottom w:val="nil"/>
              <w:right w:val="single" w:sz="4" w:space="0" w:color="auto"/>
            </w:tcBorders>
            <w:noWrap/>
            <w:vAlign w:val="center"/>
          </w:tcPr>
          <w:p w14:paraId="43C8EC74"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16.4 </w:t>
            </w:r>
          </w:p>
        </w:tc>
        <w:tc>
          <w:tcPr>
            <w:tcW w:w="1094" w:type="dxa"/>
            <w:tcBorders>
              <w:top w:val="nil"/>
              <w:left w:val="nil"/>
              <w:bottom w:val="nil"/>
              <w:right w:val="single" w:sz="4" w:space="0" w:color="auto"/>
            </w:tcBorders>
            <w:noWrap/>
            <w:vAlign w:val="center"/>
          </w:tcPr>
          <w:p w14:paraId="0E23F356"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46.6 </w:t>
            </w:r>
          </w:p>
        </w:tc>
        <w:tc>
          <w:tcPr>
            <w:tcW w:w="1111" w:type="dxa"/>
            <w:tcBorders>
              <w:top w:val="nil"/>
              <w:left w:val="nil"/>
              <w:bottom w:val="nil"/>
              <w:right w:val="single" w:sz="4" w:space="0" w:color="auto"/>
            </w:tcBorders>
            <w:noWrap/>
            <w:vAlign w:val="center"/>
          </w:tcPr>
          <w:p w14:paraId="143AF1E0"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 xml:space="preserve">35.7 </w:t>
            </w:r>
          </w:p>
        </w:tc>
      </w:tr>
    </w:tbl>
    <w:p w14:paraId="4B4FC5AC" w14:textId="77777777" w:rsidR="00D528C4" w:rsidRDefault="00D528C4" w:rsidP="00D528C4">
      <w:pPr>
        <w:spacing w:line="360" w:lineRule="auto"/>
        <w:ind w:firstLineChars="200" w:firstLine="480"/>
        <w:rPr>
          <w:rFonts w:ascii="Times New Roman" w:hAnsi="Times New Roman" w:cs="Times New Roman"/>
        </w:rPr>
      </w:pPr>
    </w:p>
    <w:p w14:paraId="1202BEEF" w14:textId="599F886A" w:rsidR="00136F89" w:rsidRDefault="0090020D">
      <w:pPr>
        <w:keepNext/>
        <w:spacing w:beforeLines="50" w:before="156" w:line="360" w:lineRule="auto"/>
        <w:jc w:val="center"/>
      </w:pPr>
      <w:bookmarkStart w:id="9" w:name="_Ref17590"/>
      <w:r>
        <w:rPr>
          <w:rFonts w:ascii="Times New Roman" w:eastAsia="黑体" w:hAnsi="Times New Roman" w:cs="Times New Roman"/>
          <w:kern w:val="0"/>
          <w:sz w:val="21"/>
          <w:szCs w:val="21"/>
        </w:rPr>
        <w:t>表</w:t>
      </w:r>
      <w:r>
        <w:rPr>
          <w:rFonts w:ascii="Times New Roman" w:eastAsia="黑体" w:hAnsi="Times New Roman" w:cs="Times New Roman"/>
          <w:kern w:val="0"/>
          <w:sz w:val="21"/>
          <w:szCs w:val="21"/>
        </w:rPr>
        <w:t>6-</w:t>
      </w:r>
      <w:r>
        <w:rPr>
          <w:rFonts w:ascii="Times New Roman" w:eastAsia="黑体" w:hAnsi="Times New Roman" w:cs="Times New Roman"/>
          <w:kern w:val="0"/>
          <w:sz w:val="21"/>
          <w:szCs w:val="21"/>
        </w:rPr>
        <w:fldChar w:fldCharType="begin"/>
      </w:r>
      <w:r>
        <w:rPr>
          <w:rFonts w:ascii="Times New Roman" w:eastAsia="黑体" w:hAnsi="Times New Roman" w:cs="Times New Roman"/>
          <w:kern w:val="0"/>
          <w:sz w:val="21"/>
          <w:szCs w:val="21"/>
        </w:rPr>
        <w:instrText xml:space="preserve"> SEQ </w:instrText>
      </w:r>
      <w:r>
        <w:rPr>
          <w:rFonts w:ascii="Times New Roman" w:eastAsia="黑体" w:hAnsi="Times New Roman" w:cs="Times New Roman"/>
          <w:kern w:val="0"/>
          <w:sz w:val="21"/>
          <w:szCs w:val="21"/>
        </w:rPr>
        <w:instrText>表</w:instrText>
      </w:r>
      <w:r>
        <w:rPr>
          <w:rFonts w:ascii="Times New Roman" w:eastAsia="黑体" w:hAnsi="Times New Roman" w:cs="Times New Roman"/>
          <w:kern w:val="0"/>
          <w:sz w:val="21"/>
          <w:szCs w:val="21"/>
        </w:rPr>
        <w:instrText xml:space="preserve">6- \* ARABIC </w:instrText>
      </w:r>
      <w:r>
        <w:rPr>
          <w:rFonts w:ascii="Times New Roman" w:eastAsia="黑体" w:hAnsi="Times New Roman" w:cs="Times New Roman"/>
          <w:kern w:val="0"/>
          <w:sz w:val="21"/>
          <w:szCs w:val="21"/>
        </w:rPr>
        <w:fldChar w:fldCharType="separate"/>
      </w:r>
      <w:r w:rsidR="00DD78E4">
        <w:rPr>
          <w:rFonts w:ascii="Times New Roman" w:eastAsia="黑体" w:hAnsi="Times New Roman" w:cs="Times New Roman"/>
          <w:noProof/>
          <w:kern w:val="0"/>
          <w:sz w:val="21"/>
          <w:szCs w:val="21"/>
        </w:rPr>
        <w:t>2</w:t>
      </w:r>
      <w:r>
        <w:rPr>
          <w:rFonts w:ascii="Times New Roman" w:eastAsia="黑体" w:hAnsi="Times New Roman" w:cs="Times New Roman"/>
          <w:kern w:val="0"/>
          <w:sz w:val="21"/>
          <w:szCs w:val="21"/>
        </w:rPr>
        <w:fldChar w:fldCharType="end"/>
      </w:r>
      <w:bookmarkEnd w:id="9"/>
      <w:r>
        <w:rPr>
          <w:rFonts w:ascii="Times New Roman" w:eastAsia="黑体" w:hAnsi="Times New Roman" w:cs="Times New Roman" w:hint="eastAsia"/>
          <w:kern w:val="0"/>
          <w:sz w:val="21"/>
          <w:szCs w:val="21"/>
        </w:rPr>
        <w:t xml:space="preserve">  </w:t>
      </w:r>
      <w:r>
        <w:rPr>
          <w:rFonts w:ascii="Times New Roman" w:eastAsia="黑体" w:hAnsi="Times New Roman" w:cs="Times New Roman"/>
          <w:kern w:val="0"/>
          <w:sz w:val="21"/>
          <w:szCs w:val="21"/>
        </w:rPr>
        <w:t>M-WT-5</w:t>
      </w:r>
      <w:r>
        <w:rPr>
          <w:rFonts w:ascii="Times New Roman" w:eastAsia="黑体" w:hAnsi="Times New Roman" w:cs="Times New Roman"/>
          <w:kern w:val="0"/>
          <w:sz w:val="21"/>
          <w:szCs w:val="21"/>
        </w:rPr>
        <w:t>参数孔</w:t>
      </w:r>
      <w:r>
        <w:rPr>
          <w:rFonts w:ascii="Times New Roman" w:eastAsia="黑体" w:hAnsi="Times New Roman" w:cs="Times New Roman"/>
          <w:kern w:val="0"/>
          <w:sz w:val="21"/>
          <w:szCs w:val="21"/>
        </w:rPr>
        <w:t>755~760m</w:t>
      </w:r>
      <w:r>
        <w:rPr>
          <w:rFonts w:ascii="Times New Roman" w:eastAsia="黑体" w:hAnsi="Times New Roman" w:cs="Times New Roman"/>
          <w:kern w:val="0"/>
          <w:sz w:val="21"/>
          <w:szCs w:val="21"/>
        </w:rPr>
        <w:t>深度本底层的探测</w:t>
      </w:r>
      <w:proofErr w:type="gramStart"/>
      <w:r>
        <w:rPr>
          <w:rFonts w:ascii="Times New Roman" w:eastAsia="黑体" w:hAnsi="Times New Roman" w:cs="Times New Roman"/>
          <w:kern w:val="0"/>
          <w:sz w:val="21"/>
          <w:szCs w:val="21"/>
        </w:rPr>
        <w:t>限计算</w:t>
      </w:r>
      <w:proofErr w:type="gramEnd"/>
      <w:r>
        <w:rPr>
          <w:rFonts w:ascii="Times New Roman" w:eastAsia="黑体" w:hAnsi="Times New Roman" w:cs="Times New Roman"/>
          <w:kern w:val="0"/>
          <w:sz w:val="21"/>
          <w:szCs w:val="21"/>
        </w:rPr>
        <w:t>结果</w:t>
      </w:r>
    </w:p>
    <w:tbl>
      <w:tblPr>
        <w:tblW w:w="9261" w:type="dxa"/>
        <w:jc w:val="center"/>
        <w:tblLook w:val="04A0" w:firstRow="1" w:lastRow="0" w:firstColumn="1" w:lastColumn="0" w:noHBand="0" w:noVBand="1"/>
      </w:tblPr>
      <w:tblGrid>
        <w:gridCol w:w="992"/>
        <w:gridCol w:w="849"/>
        <w:gridCol w:w="1060"/>
        <w:gridCol w:w="1024"/>
        <w:gridCol w:w="1150"/>
        <w:gridCol w:w="1006"/>
        <w:gridCol w:w="975"/>
        <w:gridCol w:w="1094"/>
        <w:gridCol w:w="1111"/>
      </w:tblGrid>
      <w:tr w:rsidR="00136F89" w:rsidRPr="00AE1778" w14:paraId="48B8ECC2" w14:textId="77777777">
        <w:trPr>
          <w:trHeight w:val="228"/>
          <w:jc w:val="center"/>
        </w:trPr>
        <w:tc>
          <w:tcPr>
            <w:tcW w:w="992" w:type="dxa"/>
            <w:vMerge w:val="restart"/>
            <w:tcBorders>
              <w:top w:val="single" w:sz="4" w:space="0" w:color="auto"/>
              <w:left w:val="single" w:sz="4" w:space="0" w:color="auto"/>
              <w:right w:val="single" w:sz="4" w:space="0" w:color="auto"/>
            </w:tcBorders>
            <w:noWrap/>
            <w:vAlign w:val="center"/>
          </w:tcPr>
          <w:p w14:paraId="0E6396BE" w14:textId="77777777" w:rsidR="00136F89" w:rsidRPr="00AE1778" w:rsidRDefault="0090020D">
            <w:pPr>
              <w:jc w:val="center"/>
              <w:rPr>
                <w:rFonts w:ascii="Times New Roman" w:hAnsi="Times New Roman" w:cs="Times New Roman"/>
                <w:color w:val="000000"/>
                <w:kern w:val="0"/>
                <w:sz w:val="21"/>
                <w:szCs w:val="21"/>
              </w:rPr>
            </w:pPr>
            <w:r w:rsidRPr="00AE1778">
              <w:rPr>
                <w:rFonts w:ascii="Times New Roman" w:eastAsia="等线" w:hAnsi="Times New Roman" w:cs="Times New Roman"/>
                <w:color w:val="000000"/>
                <w:kern w:val="0"/>
                <w:sz w:val="21"/>
                <w:szCs w:val="21"/>
              </w:rPr>
              <w:t>测井线号</w:t>
            </w:r>
          </w:p>
        </w:tc>
        <w:tc>
          <w:tcPr>
            <w:tcW w:w="849" w:type="dxa"/>
            <w:vMerge w:val="restart"/>
            <w:tcBorders>
              <w:top w:val="single" w:sz="4" w:space="0" w:color="auto"/>
              <w:left w:val="nil"/>
              <w:right w:val="nil"/>
            </w:tcBorders>
            <w:vAlign w:val="center"/>
          </w:tcPr>
          <w:p w14:paraId="1D9AA82E"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数据量</w:t>
            </w:r>
          </w:p>
        </w:tc>
        <w:tc>
          <w:tcPr>
            <w:tcW w:w="1060" w:type="dxa"/>
            <w:vMerge w:val="restart"/>
            <w:tcBorders>
              <w:top w:val="single" w:sz="4" w:space="0" w:color="auto"/>
              <w:left w:val="nil"/>
              <w:right w:val="single" w:sz="4" w:space="0" w:color="auto"/>
            </w:tcBorders>
            <w:noWrap/>
            <w:vAlign w:val="center"/>
          </w:tcPr>
          <w:p w14:paraId="5132A62E"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平均速度</w:t>
            </w:r>
            <w:r w:rsidRPr="00AE1778">
              <w:rPr>
                <w:rFonts w:ascii="Times New Roman" w:eastAsia="等线" w:hAnsi="Times New Roman" w:cs="Times New Roman"/>
                <w:color w:val="000000"/>
                <w:kern w:val="0"/>
                <w:sz w:val="21"/>
                <w:szCs w:val="21"/>
              </w:rPr>
              <w:t>(m/min)</w:t>
            </w:r>
          </w:p>
        </w:tc>
        <w:tc>
          <w:tcPr>
            <w:tcW w:w="3180" w:type="dxa"/>
            <w:gridSpan w:val="3"/>
            <w:tcBorders>
              <w:top w:val="single" w:sz="4" w:space="0" w:color="auto"/>
              <w:left w:val="nil"/>
              <w:bottom w:val="single" w:sz="4" w:space="0" w:color="auto"/>
              <w:right w:val="single" w:sz="4" w:space="0" w:color="auto"/>
            </w:tcBorders>
            <w:noWrap/>
            <w:vAlign w:val="center"/>
          </w:tcPr>
          <w:p w14:paraId="1F1E18C4" w14:textId="77777777" w:rsidR="00136F89" w:rsidRPr="00AE1778" w:rsidRDefault="0090020D">
            <w:pPr>
              <w:jc w:val="center"/>
              <w:rPr>
                <w:rFonts w:ascii="Times New Roman" w:hAnsi="Times New Roman" w:cs="Times New Roman"/>
                <w:color w:val="000000"/>
                <w:kern w:val="0"/>
                <w:sz w:val="21"/>
                <w:szCs w:val="21"/>
              </w:rPr>
            </w:pPr>
            <w:r w:rsidRPr="00AE1778">
              <w:rPr>
                <w:rFonts w:ascii="Times New Roman" w:hAnsi="Times New Roman" w:cs="Times New Roman"/>
                <w:color w:val="000000"/>
                <w:kern w:val="0"/>
                <w:sz w:val="21"/>
                <w:szCs w:val="21"/>
              </w:rPr>
              <w:t>标准偏差</w:t>
            </w:r>
          </w:p>
        </w:tc>
        <w:tc>
          <w:tcPr>
            <w:tcW w:w="3180" w:type="dxa"/>
            <w:gridSpan w:val="3"/>
            <w:tcBorders>
              <w:top w:val="single" w:sz="4" w:space="0" w:color="auto"/>
              <w:left w:val="nil"/>
              <w:bottom w:val="single" w:sz="4" w:space="0" w:color="auto"/>
              <w:right w:val="single" w:sz="4" w:space="0" w:color="auto"/>
            </w:tcBorders>
            <w:noWrap/>
            <w:vAlign w:val="center"/>
          </w:tcPr>
          <w:p w14:paraId="60A8D9D0" w14:textId="77777777" w:rsidR="00136F89" w:rsidRPr="00AE1778" w:rsidRDefault="0090020D">
            <w:pPr>
              <w:jc w:val="center"/>
              <w:rPr>
                <w:rFonts w:ascii="Times New Roman" w:hAnsi="Times New Roman" w:cs="Times New Roman"/>
                <w:color w:val="000000"/>
                <w:kern w:val="0"/>
                <w:sz w:val="21"/>
                <w:szCs w:val="21"/>
              </w:rPr>
            </w:pPr>
            <w:r w:rsidRPr="00AE1778">
              <w:rPr>
                <w:rFonts w:ascii="Times New Roman" w:hAnsi="Times New Roman" w:cs="Times New Roman"/>
                <w:color w:val="000000"/>
                <w:kern w:val="0"/>
                <w:sz w:val="21"/>
                <w:szCs w:val="21"/>
              </w:rPr>
              <w:t>探测限</w:t>
            </w:r>
          </w:p>
        </w:tc>
      </w:tr>
      <w:tr w:rsidR="00136F89" w:rsidRPr="00AE1778" w14:paraId="1035EC41" w14:textId="77777777">
        <w:trPr>
          <w:trHeight w:val="258"/>
          <w:jc w:val="center"/>
        </w:trPr>
        <w:tc>
          <w:tcPr>
            <w:tcW w:w="992" w:type="dxa"/>
            <w:vMerge/>
            <w:tcBorders>
              <w:left w:val="single" w:sz="4" w:space="0" w:color="auto"/>
              <w:bottom w:val="single" w:sz="4" w:space="0" w:color="auto"/>
              <w:right w:val="single" w:sz="4" w:space="0" w:color="auto"/>
            </w:tcBorders>
            <w:noWrap/>
            <w:vAlign w:val="center"/>
          </w:tcPr>
          <w:p w14:paraId="795FB367" w14:textId="77777777" w:rsidR="00136F89" w:rsidRPr="00AE1778" w:rsidRDefault="00136F89">
            <w:pPr>
              <w:jc w:val="center"/>
              <w:rPr>
                <w:rFonts w:ascii="Times New Roman" w:eastAsia="等线" w:hAnsi="Times New Roman" w:cs="Times New Roman"/>
                <w:color w:val="000000"/>
                <w:kern w:val="0"/>
                <w:sz w:val="21"/>
                <w:szCs w:val="21"/>
              </w:rPr>
            </w:pPr>
          </w:p>
        </w:tc>
        <w:tc>
          <w:tcPr>
            <w:tcW w:w="849" w:type="dxa"/>
            <w:vMerge/>
            <w:tcBorders>
              <w:left w:val="nil"/>
              <w:bottom w:val="single" w:sz="4" w:space="0" w:color="auto"/>
              <w:right w:val="nil"/>
            </w:tcBorders>
          </w:tcPr>
          <w:p w14:paraId="677269F5" w14:textId="77777777" w:rsidR="00136F89" w:rsidRPr="00AE1778" w:rsidRDefault="00136F89">
            <w:pPr>
              <w:jc w:val="center"/>
              <w:rPr>
                <w:rFonts w:ascii="Times New Roman" w:eastAsia="等线" w:hAnsi="Times New Roman" w:cs="Times New Roman"/>
                <w:color w:val="000000"/>
                <w:kern w:val="0"/>
                <w:sz w:val="21"/>
                <w:szCs w:val="21"/>
              </w:rPr>
            </w:pPr>
          </w:p>
        </w:tc>
        <w:tc>
          <w:tcPr>
            <w:tcW w:w="1060" w:type="dxa"/>
            <w:vMerge/>
            <w:tcBorders>
              <w:left w:val="nil"/>
              <w:bottom w:val="single" w:sz="4" w:space="0" w:color="auto"/>
              <w:right w:val="single" w:sz="4" w:space="0" w:color="auto"/>
            </w:tcBorders>
            <w:noWrap/>
            <w:vAlign w:val="center"/>
          </w:tcPr>
          <w:p w14:paraId="2B57B971" w14:textId="77777777" w:rsidR="00136F89" w:rsidRPr="00AE1778" w:rsidRDefault="00136F89">
            <w:pPr>
              <w:jc w:val="center"/>
              <w:rPr>
                <w:rFonts w:ascii="Times New Roman" w:eastAsia="等线" w:hAnsi="Times New Roman" w:cs="Times New Roman"/>
                <w:color w:val="000000"/>
                <w:kern w:val="0"/>
                <w:sz w:val="21"/>
                <w:szCs w:val="21"/>
              </w:rPr>
            </w:pPr>
          </w:p>
        </w:tc>
        <w:tc>
          <w:tcPr>
            <w:tcW w:w="1024" w:type="dxa"/>
            <w:tcBorders>
              <w:top w:val="nil"/>
              <w:left w:val="nil"/>
              <w:bottom w:val="single" w:sz="4" w:space="0" w:color="auto"/>
              <w:right w:val="single" w:sz="4" w:space="0" w:color="auto"/>
            </w:tcBorders>
            <w:noWrap/>
            <w:vAlign w:val="center"/>
          </w:tcPr>
          <w:p w14:paraId="5F71EAEE"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TC(Ur)</w:t>
            </w:r>
          </w:p>
        </w:tc>
        <w:tc>
          <w:tcPr>
            <w:tcW w:w="1150" w:type="dxa"/>
            <w:tcBorders>
              <w:top w:val="nil"/>
              <w:left w:val="nil"/>
              <w:bottom w:val="single" w:sz="4" w:space="0" w:color="auto"/>
              <w:right w:val="single" w:sz="4" w:space="0" w:color="auto"/>
            </w:tcBorders>
            <w:noWrap/>
            <w:vAlign w:val="center"/>
          </w:tcPr>
          <w:p w14:paraId="304EA638" w14:textId="77777777" w:rsidR="00136F89" w:rsidRPr="00AE1778" w:rsidRDefault="0090020D">
            <w:pPr>
              <w:jc w:val="center"/>
              <w:rPr>
                <w:rFonts w:ascii="Times New Roman" w:eastAsia="等线" w:hAnsi="Times New Roman" w:cs="Times New Roman"/>
                <w:color w:val="000000"/>
                <w:kern w:val="0"/>
                <w:sz w:val="21"/>
                <w:szCs w:val="21"/>
              </w:rPr>
            </w:pPr>
            <w:proofErr w:type="spellStart"/>
            <w:r w:rsidRPr="00AE1778">
              <w:rPr>
                <w:rFonts w:ascii="Times New Roman" w:eastAsia="等线" w:hAnsi="Times New Roman" w:cs="Times New Roman"/>
                <w:color w:val="000000"/>
                <w:kern w:val="0"/>
                <w:sz w:val="21"/>
                <w:szCs w:val="21"/>
              </w:rPr>
              <w:t>eU</w:t>
            </w:r>
            <w:proofErr w:type="spellEnd"/>
            <w:r w:rsidRPr="00AE1778">
              <w:rPr>
                <w:rFonts w:ascii="Times New Roman" w:eastAsia="等线" w:hAnsi="Times New Roman" w:cs="Times New Roman"/>
                <w:color w:val="000000"/>
                <w:kern w:val="0"/>
                <w:sz w:val="21"/>
                <w:szCs w:val="21"/>
              </w:rPr>
              <w:t>(10</w:t>
            </w:r>
            <w:r w:rsidRPr="00AE1778">
              <w:rPr>
                <w:rFonts w:ascii="Times New Roman" w:eastAsia="等线" w:hAnsi="Times New Roman" w:cs="Times New Roman"/>
                <w:color w:val="000000"/>
                <w:kern w:val="0"/>
                <w:sz w:val="21"/>
                <w:szCs w:val="21"/>
                <w:vertAlign w:val="superscript"/>
              </w:rPr>
              <w:t>-6</w:t>
            </w:r>
            <w:r w:rsidRPr="00AE1778">
              <w:rPr>
                <w:rFonts w:ascii="Times New Roman" w:eastAsia="等线" w:hAnsi="Times New Roman" w:cs="Times New Roman"/>
                <w:color w:val="000000"/>
                <w:kern w:val="0"/>
                <w:sz w:val="21"/>
                <w:szCs w:val="21"/>
              </w:rPr>
              <w:t>)</w:t>
            </w:r>
          </w:p>
        </w:tc>
        <w:tc>
          <w:tcPr>
            <w:tcW w:w="1006" w:type="dxa"/>
            <w:tcBorders>
              <w:top w:val="nil"/>
              <w:left w:val="nil"/>
              <w:bottom w:val="single" w:sz="4" w:space="0" w:color="auto"/>
              <w:right w:val="single" w:sz="4" w:space="0" w:color="auto"/>
            </w:tcBorders>
            <w:noWrap/>
            <w:vAlign w:val="center"/>
          </w:tcPr>
          <w:p w14:paraId="544B928D"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U(10</w:t>
            </w:r>
            <w:r w:rsidRPr="00AE1778">
              <w:rPr>
                <w:rFonts w:ascii="Times New Roman" w:eastAsia="等线" w:hAnsi="Times New Roman" w:cs="Times New Roman"/>
                <w:color w:val="000000"/>
                <w:kern w:val="0"/>
                <w:sz w:val="21"/>
                <w:szCs w:val="21"/>
                <w:vertAlign w:val="superscript"/>
              </w:rPr>
              <w:t>-6</w:t>
            </w:r>
            <w:r w:rsidRPr="00AE1778">
              <w:rPr>
                <w:rFonts w:ascii="Times New Roman" w:eastAsia="等线" w:hAnsi="Times New Roman" w:cs="Times New Roman"/>
                <w:color w:val="000000"/>
                <w:kern w:val="0"/>
                <w:sz w:val="21"/>
                <w:szCs w:val="21"/>
              </w:rPr>
              <w:t>)</w:t>
            </w:r>
          </w:p>
        </w:tc>
        <w:tc>
          <w:tcPr>
            <w:tcW w:w="975" w:type="dxa"/>
            <w:tcBorders>
              <w:top w:val="nil"/>
              <w:left w:val="nil"/>
              <w:bottom w:val="single" w:sz="4" w:space="0" w:color="auto"/>
              <w:right w:val="single" w:sz="4" w:space="0" w:color="auto"/>
            </w:tcBorders>
            <w:noWrap/>
            <w:vAlign w:val="center"/>
          </w:tcPr>
          <w:p w14:paraId="72420DC0"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TC(Ur)</w:t>
            </w:r>
          </w:p>
        </w:tc>
        <w:tc>
          <w:tcPr>
            <w:tcW w:w="1094" w:type="dxa"/>
            <w:tcBorders>
              <w:top w:val="nil"/>
              <w:left w:val="nil"/>
              <w:bottom w:val="single" w:sz="4" w:space="0" w:color="auto"/>
              <w:right w:val="single" w:sz="4" w:space="0" w:color="auto"/>
            </w:tcBorders>
            <w:noWrap/>
            <w:vAlign w:val="center"/>
          </w:tcPr>
          <w:p w14:paraId="6B16797B" w14:textId="77777777" w:rsidR="00136F89" w:rsidRPr="00AE1778" w:rsidRDefault="0090020D">
            <w:pPr>
              <w:jc w:val="center"/>
              <w:rPr>
                <w:rFonts w:ascii="Times New Roman" w:eastAsia="等线" w:hAnsi="Times New Roman" w:cs="Times New Roman"/>
                <w:color w:val="000000"/>
                <w:kern w:val="0"/>
                <w:sz w:val="21"/>
                <w:szCs w:val="21"/>
              </w:rPr>
            </w:pPr>
            <w:proofErr w:type="spellStart"/>
            <w:r w:rsidRPr="00AE1778">
              <w:rPr>
                <w:rFonts w:ascii="Times New Roman" w:eastAsia="等线" w:hAnsi="Times New Roman" w:cs="Times New Roman"/>
                <w:color w:val="000000"/>
                <w:kern w:val="0"/>
                <w:sz w:val="21"/>
                <w:szCs w:val="21"/>
              </w:rPr>
              <w:t>eU</w:t>
            </w:r>
            <w:proofErr w:type="spellEnd"/>
            <w:r w:rsidRPr="00AE1778">
              <w:rPr>
                <w:rFonts w:ascii="Times New Roman" w:eastAsia="等线" w:hAnsi="Times New Roman" w:cs="Times New Roman"/>
                <w:color w:val="000000"/>
                <w:kern w:val="0"/>
                <w:sz w:val="21"/>
                <w:szCs w:val="21"/>
              </w:rPr>
              <w:t>(10</w:t>
            </w:r>
            <w:r w:rsidRPr="00AE1778">
              <w:rPr>
                <w:rFonts w:ascii="Times New Roman" w:eastAsia="等线" w:hAnsi="Times New Roman" w:cs="Times New Roman"/>
                <w:color w:val="000000"/>
                <w:kern w:val="0"/>
                <w:sz w:val="21"/>
                <w:szCs w:val="21"/>
                <w:vertAlign w:val="superscript"/>
              </w:rPr>
              <w:t>-6</w:t>
            </w:r>
            <w:r w:rsidRPr="00AE1778">
              <w:rPr>
                <w:rFonts w:ascii="Times New Roman" w:eastAsia="等线" w:hAnsi="Times New Roman" w:cs="Times New Roman"/>
                <w:color w:val="000000"/>
                <w:kern w:val="0"/>
                <w:sz w:val="21"/>
                <w:szCs w:val="21"/>
              </w:rPr>
              <w:t>)</w:t>
            </w:r>
          </w:p>
        </w:tc>
        <w:tc>
          <w:tcPr>
            <w:tcW w:w="1111" w:type="dxa"/>
            <w:tcBorders>
              <w:top w:val="nil"/>
              <w:left w:val="nil"/>
              <w:bottom w:val="single" w:sz="4" w:space="0" w:color="auto"/>
              <w:right w:val="single" w:sz="4" w:space="0" w:color="auto"/>
            </w:tcBorders>
            <w:noWrap/>
            <w:vAlign w:val="center"/>
          </w:tcPr>
          <w:p w14:paraId="583F51E7" w14:textId="77777777" w:rsidR="00136F89" w:rsidRPr="00AE1778" w:rsidRDefault="0090020D">
            <w:pPr>
              <w:jc w:val="center"/>
              <w:rPr>
                <w:rFonts w:ascii="Times New Roman" w:eastAsia="等线" w:hAnsi="Times New Roman" w:cs="Times New Roman"/>
                <w:color w:val="000000"/>
                <w:kern w:val="0"/>
                <w:sz w:val="21"/>
                <w:szCs w:val="21"/>
              </w:rPr>
            </w:pPr>
            <w:proofErr w:type="spellStart"/>
            <w:r w:rsidRPr="00AE1778">
              <w:rPr>
                <w:rFonts w:ascii="Times New Roman" w:eastAsia="等线" w:hAnsi="Times New Roman" w:cs="Times New Roman"/>
                <w:color w:val="000000"/>
                <w:kern w:val="0"/>
                <w:sz w:val="21"/>
                <w:szCs w:val="21"/>
              </w:rPr>
              <w:t>pU</w:t>
            </w:r>
            <w:proofErr w:type="spellEnd"/>
            <w:r w:rsidRPr="00AE1778">
              <w:rPr>
                <w:rFonts w:ascii="Times New Roman" w:eastAsia="等线" w:hAnsi="Times New Roman" w:cs="Times New Roman"/>
                <w:color w:val="000000"/>
                <w:kern w:val="0"/>
                <w:sz w:val="21"/>
                <w:szCs w:val="21"/>
              </w:rPr>
              <w:t>(10</w:t>
            </w:r>
            <w:r w:rsidRPr="00AE1778">
              <w:rPr>
                <w:rFonts w:ascii="Times New Roman" w:eastAsia="等线" w:hAnsi="Times New Roman" w:cs="Times New Roman"/>
                <w:color w:val="000000"/>
                <w:kern w:val="0"/>
                <w:sz w:val="21"/>
                <w:szCs w:val="21"/>
                <w:vertAlign w:val="superscript"/>
              </w:rPr>
              <w:t>-6</w:t>
            </w:r>
            <w:r w:rsidRPr="00AE1778">
              <w:rPr>
                <w:rFonts w:ascii="Times New Roman" w:eastAsia="等线" w:hAnsi="Times New Roman" w:cs="Times New Roman"/>
                <w:color w:val="000000"/>
                <w:kern w:val="0"/>
                <w:sz w:val="21"/>
                <w:szCs w:val="21"/>
              </w:rPr>
              <w:t>)</w:t>
            </w:r>
          </w:p>
        </w:tc>
      </w:tr>
      <w:tr w:rsidR="00136F89" w:rsidRPr="00AE1778" w14:paraId="4730B605" w14:textId="77777777">
        <w:trPr>
          <w:trHeight w:val="228"/>
          <w:jc w:val="center"/>
        </w:trPr>
        <w:tc>
          <w:tcPr>
            <w:tcW w:w="992" w:type="dxa"/>
            <w:tcBorders>
              <w:top w:val="nil"/>
              <w:left w:val="single" w:sz="4" w:space="0" w:color="auto"/>
              <w:bottom w:val="single" w:sz="4" w:space="0" w:color="auto"/>
              <w:right w:val="single" w:sz="4" w:space="0" w:color="auto"/>
            </w:tcBorders>
            <w:noWrap/>
            <w:vAlign w:val="center"/>
          </w:tcPr>
          <w:p w14:paraId="7FB52B36"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Lcn0210</w:t>
            </w:r>
          </w:p>
        </w:tc>
        <w:tc>
          <w:tcPr>
            <w:tcW w:w="849" w:type="dxa"/>
            <w:tcBorders>
              <w:top w:val="nil"/>
              <w:left w:val="nil"/>
              <w:bottom w:val="single" w:sz="4" w:space="0" w:color="auto"/>
              <w:right w:val="nil"/>
            </w:tcBorders>
            <w:vAlign w:val="center"/>
          </w:tcPr>
          <w:p w14:paraId="6447C042"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47</w:t>
            </w:r>
          </w:p>
        </w:tc>
        <w:tc>
          <w:tcPr>
            <w:tcW w:w="1060" w:type="dxa"/>
            <w:tcBorders>
              <w:top w:val="nil"/>
              <w:left w:val="nil"/>
              <w:bottom w:val="single" w:sz="4" w:space="0" w:color="auto"/>
              <w:right w:val="single" w:sz="4" w:space="0" w:color="auto"/>
            </w:tcBorders>
            <w:noWrap/>
            <w:vAlign w:val="center"/>
          </w:tcPr>
          <w:p w14:paraId="2FA797BE"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1.05 </w:t>
            </w:r>
          </w:p>
        </w:tc>
        <w:tc>
          <w:tcPr>
            <w:tcW w:w="1024" w:type="dxa"/>
            <w:tcBorders>
              <w:top w:val="nil"/>
              <w:left w:val="nil"/>
              <w:bottom w:val="single" w:sz="4" w:space="0" w:color="auto"/>
              <w:right w:val="single" w:sz="4" w:space="0" w:color="auto"/>
            </w:tcBorders>
            <w:noWrap/>
            <w:vAlign w:val="center"/>
          </w:tcPr>
          <w:p w14:paraId="4B751FDA"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1.75 </w:t>
            </w:r>
          </w:p>
        </w:tc>
        <w:tc>
          <w:tcPr>
            <w:tcW w:w="1150" w:type="dxa"/>
            <w:tcBorders>
              <w:top w:val="nil"/>
              <w:left w:val="nil"/>
              <w:bottom w:val="single" w:sz="4" w:space="0" w:color="auto"/>
              <w:right w:val="single" w:sz="4" w:space="0" w:color="auto"/>
            </w:tcBorders>
            <w:noWrap/>
            <w:vAlign w:val="center"/>
          </w:tcPr>
          <w:p w14:paraId="6753C124"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3.27 </w:t>
            </w:r>
          </w:p>
        </w:tc>
        <w:tc>
          <w:tcPr>
            <w:tcW w:w="1006" w:type="dxa"/>
            <w:tcBorders>
              <w:top w:val="nil"/>
              <w:left w:val="nil"/>
              <w:bottom w:val="single" w:sz="4" w:space="0" w:color="auto"/>
              <w:right w:val="single" w:sz="4" w:space="0" w:color="auto"/>
            </w:tcBorders>
            <w:noWrap/>
            <w:vAlign w:val="center"/>
          </w:tcPr>
          <w:p w14:paraId="13255ED8"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7.25 </w:t>
            </w:r>
          </w:p>
        </w:tc>
        <w:tc>
          <w:tcPr>
            <w:tcW w:w="975" w:type="dxa"/>
            <w:tcBorders>
              <w:top w:val="nil"/>
              <w:left w:val="nil"/>
              <w:bottom w:val="single" w:sz="4" w:space="0" w:color="auto"/>
              <w:right w:val="single" w:sz="4" w:space="0" w:color="auto"/>
            </w:tcBorders>
            <w:noWrap/>
            <w:vAlign w:val="center"/>
          </w:tcPr>
          <w:p w14:paraId="1BB43300"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8.4 </w:t>
            </w:r>
          </w:p>
        </w:tc>
        <w:tc>
          <w:tcPr>
            <w:tcW w:w="1094" w:type="dxa"/>
            <w:tcBorders>
              <w:top w:val="nil"/>
              <w:left w:val="nil"/>
              <w:bottom w:val="single" w:sz="4" w:space="0" w:color="auto"/>
              <w:right w:val="single" w:sz="4" w:space="0" w:color="auto"/>
            </w:tcBorders>
            <w:noWrap/>
            <w:vAlign w:val="center"/>
          </w:tcPr>
          <w:p w14:paraId="6B15591E"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13.5 </w:t>
            </w:r>
          </w:p>
        </w:tc>
        <w:tc>
          <w:tcPr>
            <w:tcW w:w="1111" w:type="dxa"/>
            <w:tcBorders>
              <w:top w:val="nil"/>
              <w:left w:val="nil"/>
              <w:bottom w:val="single" w:sz="4" w:space="0" w:color="auto"/>
              <w:right w:val="single" w:sz="4" w:space="0" w:color="auto"/>
            </w:tcBorders>
            <w:noWrap/>
            <w:vAlign w:val="center"/>
          </w:tcPr>
          <w:p w14:paraId="2D08D719"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26.6 </w:t>
            </w:r>
          </w:p>
        </w:tc>
      </w:tr>
      <w:tr w:rsidR="00136F89" w:rsidRPr="00AE1778" w14:paraId="648A19B6" w14:textId="77777777">
        <w:trPr>
          <w:trHeight w:val="228"/>
          <w:jc w:val="center"/>
        </w:trPr>
        <w:tc>
          <w:tcPr>
            <w:tcW w:w="992" w:type="dxa"/>
            <w:tcBorders>
              <w:top w:val="nil"/>
              <w:left w:val="single" w:sz="4" w:space="0" w:color="auto"/>
              <w:bottom w:val="single" w:sz="4" w:space="0" w:color="auto"/>
              <w:right w:val="single" w:sz="4" w:space="0" w:color="auto"/>
            </w:tcBorders>
            <w:noWrap/>
            <w:vAlign w:val="center"/>
          </w:tcPr>
          <w:p w14:paraId="32C3B2C9"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Lcn0220</w:t>
            </w:r>
          </w:p>
        </w:tc>
        <w:tc>
          <w:tcPr>
            <w:tcW w:w="849" w:type="dxa"/>
            <w:tcBorders>
              <w:top w:val="nil"/>
              <w:left w:val="nil"/>
              <w:bottom w:val="single" w:sz="4" w:space="0" w:color="auto"/>
              <w:right w:val="nil"/>
            </w:tcBorders>
            <w:vAlign w:val="center"/>
          </w:tcPr>
          <w:p w14:paraId="18AEA21D"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44</w:t>
            </w:r>
          </w:p>
        </w:tc>
        <w:tc>
          <w:tcPr>
            <w:tcW w:w="1060" w:type="dxa"/>
            <w:tcBorders>
              <w:top w:val="nil"/>
              <w:left w:val="nil"/>
              <w:bottom w:val="single" w:sz="4" w:space="0" w:color="auto"/>
              <w:right w:val="single" w:sz="4" w:space="0" w:color="auto"/>
            </w:tcBorders>
            <w:noWrap/>
            <w:vAlign w:val="center"/>
          </w:tcPr>
          <w:p w14:paraId="7E8DE4E2"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2.05 </w:t>
            </w:r>
          </w:p>
        </w:tc>
        <w:tc>
          <w:tcPr>
            <w:tcW w:w="1024" w:type="dxa"/>
            <w:tcBorders>
              <w:top w:val="nil"/>
              <w:left w:val="nil"/>
              <w:bottom w:val="single" w:sz="4" w:space="0" w:color="auto"/>
              <w:right w:val="single" w:sz="4" w:space="0" w:color="auto"/>
            </w:tcBorders>
            <w:noWrap/>
            <w:vAlign w:val="center"/>
          </w:tcPr>
          <w:p w14:paraId="2492B4B4"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2.44 </w:t>
            </w:r>
          </w:p>
        </w:tc>
        <w:tc>
          <w:tcPr>
            <w:tcW w:w="1150" w:type="dxa"/>
            <w:tcBorders>
              <w:top w:val="nil"/>
              <w:left w:val="nil"/>
              <w:bottom w:val="single" w:sz="4" w:space="0" w:color="auto"/>
              <w:right w:val="single" w:sz="4" w:space="0" w:color="auto"/>
            </w:tcBorders>
            <w:noWrap/>
            <w:vAlign w:val="center"/>
          </w:tcPr>
          <w:p w14:paraId="2B2B27F2"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6.87 </w:t>
            </w:r>
          </w:p>
        </w:tc>
        <w:tc>
          <w:tcPr>
            <w:tcW w:w="1006" w:type="dxa"/>
            <w:tcBorders>
              <w:top w:val="nil"/>
              <w:left w:val="nil"/>
              <w:bottom w:val="single" w:sz="4" w:space="0" w:color="auto"/>
              <w:right w:val="single" w:sz="4" w:space="0" w:color="auto"/>
            </w:tcBorders>
            <w:noWrap/>
            <w:vAlign w:val="center"/>
          </w:tcPr>
          <w:p w14:paraId="31A83E7D"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6.11 </w:t>
            </w:r>
          </w:p>
        </w:tc>
        <w:tc>
          <w:tcPr>
            <w:tcW w:w="975" w:type="dxa"/>
            <w:tcBorders>
              <w:top w:val="nil"/>
              <w:left w:val="nil"/>
              <w:bottom w:val="single" w:sz="4" w:space="0" w:color="auto"/>
              <w:right w:val="single" w:sz="4" w:space="0" w:color="auto"/>
            </w:tcBorders>
            <w:noWrap/>
            <w:vAlign w:val="center"/>
          </w:tcPr>
          <w:p w14:paraId="1E721781"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10.7 </w:t>
            </w:r>
          </w:p>
        </w:tc>
        <w:tc>
          <w:tcPr>
            <w:tcW w:w="1094" w:type="dxa"/>
            <w:tcBorders>
              <w:top w:val="nil"/>
              <w:left w:val="nil"/>
              <w:bottom w:val="single" w:sz="4" w:space="0" w:color="auto"/>
              <w:right w:val="single" w:sz="4" w:space="0" w:color="auto"/>
            </w:tcBorders>
            <w:noWrap/>
            <w:vAlign w:val="center"/>
          </w:tcPr>
          <w:p w14:paraId="19FC7E64"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25.3 </w:t>
            </w:r>
          </w:p>
        </w:tc>
        <w:tc>
          <w:tcPr>
            <w:tcW w:w="1111" w:type="dxa"/>
            <w:tcBorders>
              <w:top w:val="nil"/>
              <w:left w:val="nil"/>
              <w:bottom w:val="single" w:sz="4" w:space="0" w:color="auto"/>
              <w:right w:val="single" w:sz="4" w:space="0" w:color="auto"/>
            </w:tcBorders>
            <w:noWrap/>
            <w:vAlign w:val="center"/>
          </w:tcPr>
          <w:p w14:paraId="06898398"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22.8 </w:t>
            </w:r>
          </w:p>
        </w:tc>
      </w:tr>
      <w:tr w:rsidR="00136F89" w:rsidRPr="00AE1778" w14:paraId="0DB1B991" w14:textId="77777777">
        <w:trPr>
          <w:trHeight w:val="228"/>
          <w:jc w:val="center"/>
        </w:trPr>
        <w:tc>
          <w:tcPr>
            <w:tcW w:w="992" w:type="dxa"/>
            <w:tcBorders>
              <w:top w:val="nil"/>
              <w:left w:val="single" w:sz="4" w:space="0" w:color="auto"/>
              <w:bottom w:val="single" w:sz="4" w:space="0" w:color="auto"/>
              <w:right w:val="single" w:sz="4" w:space="0" w:color="auto"/>
            </w:tcBorders>
            <w:noWrap/>
            <w:vAlign w:val="center"/>
          </w:tcPr>
          <w:p w14:paraId="21093D80"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Lcn0230</w:t>
            </w:r>
          </w:p>
        </w:tc>
        <w:tc>
          <w:tcPr>
            <w:tcW w:w="849" w:type="dxa"/>
            <w:tcBorders>
              <w:top w:val="nil"/>
              <w:left w:val="nil"/>
              <w:bottom w:val="single" w:sz="4" w:space="0" w:color="auto"/>
              <w:right w:val="nil"/>
            </w:tcBorders>
            <w:vAlign w:val="center"/>
          </w:tcPr>
          <w:p w14:paraId="7A891DEE"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40</w:t>
            </w:r>
          </w:p>
        </w:tc>
        <w:tc>
          <w:tcPr>
            <w:tcW w:w="1060" w:type="dxa"/>
            <w:tcBorders>
              <w:top w:val="nil"/>
              <w:left w:val="nil"/>
              <w:bottom w:val="single" w:sz="4" w:space="0" w:color="auto"/>
              <w:right w:val="single" w:sz="4" w:space="0" w:color="auto"/>
            </w:tcBorders>
            <w:noWrap/>
            <w:vAlign w:val="center"/>
          </w:tcPr>
          <w:p w14:paraId="794E29C5"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3.17 </w:t>
            </w:r>
          </w:p>
        </w:tc>
        <w:tc>
          <w:tcPr>
            <w:tcW w:w="1024" w:type="dxa"/>
            <w:tcBorders>
              <w:top w:val="nil"/>
              <w:left w:val="nil"/>
              <w:bottom w:val="single" w:sz="4" w:space="0" w:color="auto"/>
              <w:right w:val="single" w:sz="4" w:space="0" w:color="auto"/>
            </w:tcBorders>
            <w:noWrap/>
            <w:vAlign w:val="center"/>
          </w:tcPr>
          <w:p w14:paraId="46A56393"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2.66 </w:t>
            </w:r>
          </w:p>
        </w:tc>
        <w:tc>
          <w:tcPr>
            <w:tcW w:w="1150" w:type="dxa"/>
            <w:tcBorders>
              <w:top w:val="nil"/>
              <w:left w:val="nil"/>
              <w:bottom w:val="single" w:sz="4" w:space="0" w:color="auto"/>
              <w:right w:val="single" w:sz="4" w:space="0" w:color="auto"/>
            </w:tcBorders>
            <w:noWrap/>
            <w:vAlign w:val="center"/>
          </w:tcPr>
          <w:p w14:paraId="51E9E5BA"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9.37 </w:t>
            </w:r>
          </w:p>
        </w:tc>
        <w:tc>
          <w:tcPr>
            <w:tcW w:w="1006" w:type="dxa"/>
            <w:tcBorders>
              <w:top w:val="nil"/>
              <w:left w:val="nil"/>
              <w:bottom w:val="single" w:sz="4" w:space="0" w:color="auto"/>
              <w:right w:val="single" w:sz="4" w:space="0" w:color="auto"/>
            </w:tcBorders>
            <w:noWrap/>
            <w:vAlign w:val="center"/>
          </w:tcPr>
          <w:p w14:paraId="151EFCEB"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11.51 </w:t>
            </w:r>
          </w:p>
        </w:tc>
        <w:tc>
          <w:tcPr>
            <w:tcW w:w="975" w:type="dxa"/>
            <w:tcBorders>
              <w:top w:val="nil"/>
              <w:left w:val="nil"/>
              <w:bottom w:val="single" w:sz="4" w:space="0" w:color="auto"/>
              <w:right w:val="single" w:sz="4" w:space="0" w:color="auto"/>
            </w:tcBorders>
            <w:noWrap/>
            <w:vAlign w:val="center"/>
          </w:tcPr>
          <w:p w14:paraId="60D98FDF"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11.5 </w:t>
            </w:r>
          </w:p>
        </w:tc>
        <w:tc>
          <w:tcPr>
            <w:tcW w:w="1094" w:type="dxa"/>
            <w:tcBorders>
              <w:top w:val="nil"/>
              <w:left w:val="nil"/>
              <w:bottom w:val="single" w:sz="4" w:space="0" w:color="auto"/>
              <w:right w:val="single" w:sz="4" w:space="0" w:color="auto"/>
            </w:tcBorders>
            <w:noWrap/>
            <w:vAlign w:val="center"/>
          </w:tcPr>
          <w:p w14:paraId="15714950"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33.5 </w:t>
            </w:r>
          </w:p>
        </w:tc>
        <w:tc>
          <w:tcPr>
            <w:tcW w:w="1111" w:type="dxa"/>
            <w:tcBorders>
              <w:top w:val="nil"/>
              <w:left w:val="nil"/>
              <w:bottom w:val="single" w:sz="4" w:space="0" w:color="auto"/>
              <w:right w:val="single" w:sz="4" w:space="0" w:color="auto"/>
            </w:tcBorders>
            <w:noWrap/>
            <w:vAlign w:val="center"/>
          </w:tcPr>
          <w:p w14:paraId="361639BC"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40.6 </w:t>
            </w:r>
          </w:p>
        </w:tc>
      </w:tr>
      <w:tr w:rsidR="00136F89" w:rsidRPr="00AE1778" w14:paraId="080361F5" w14:textId="77777777">
        <w:trPr>
          <w:trHeight w:val="228"/>
          <w:jc w:val="center"/>
        </w:trPr>
        <w:tc>
          <w:tcPr>
            <w:tcW w:w="992" w:type="dxa"/>
            <w:tcBorders>
              <w:top w:val="nil"/>
              <w:left w:val="single" w:sz="4" w:space="0" w:color="auto"/>
              <w:bottom w:val="single" w:sz="4" w:space="0" w:color="auto"/>
              <w:right w:val="single" w:sz="4" w:space="0" w:color="auto"/>
            </w:tcBorders>
            <w:noWrap/>
            <w:vAlign w:val="center"/>
          </w:tcPr>
          <w:p w14:paraId="7628A219"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Lcn0260</w:t>
            </w:r>
          </w:p>
        </w:tc>
        <w:tc>
          <w:tcPr>
            <w:tcW w:w="849" w:type="dxa"/>
            <w:tcBorders>
              <w:top w:val="nil"/>
              <w:left w:val="nil"/>
              <w:bottom w:val="single" w:sz="4" w:space="0" w:color="auto"/>
              <w:right w:val="nil"/>
            </w:tcBorders>
            <w:vAlign w:val="center"/>
          </w:tcPr>
          <w:p w14:paraId="0FDFA2A7"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40</w:t>
            </w:r>
          </w:p>
        </w:tc>
        <w:tc>
          <w:tcPr>
            <w:tcW w:w="1060" w:type="dxa"/>
            <w:tcBorders>
              <w:top w:val="nil"/>
              <w:left w:val="nil"/>
              <w:bottom w:val="single" w:sz="4" w:space="0" w:color="auto"/>
              <w:right w:val="single" w:sz="4" w:space="0" w:color="auto"/>
            </w:tcBorders>
            <w:noWrap/>
            <w:vAlign w:val="center"/>
          </w:tcPr>
          <w:p w14:paraId="116FA707"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6.30 </w:t>
            </w:r>
          </w:p>
        </w:tc>
        <w:tc>
          <w:tcPr>
            <w:tcW w:w="1024" w:type="dxa"/>
            <w:tcBorders>
              <w:top w:val="nil"/>
              <w:left w:val="nil"/>
              <w:bottom w:val="single" w:sz="4" w:space="0" w:color="auto"/>
              <w:right w:val="single" w:sz="4" w:space="0" w:color="auto"/>
            </w:tcBorders>
            <w:noWrap/>
            <w:vAlign w:val="center"/>
          </w:tcPr>
          <w:p w14:paraId="03678087"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2.58 </w:t>
            </w:r>
          </w:p>
        </w:tc>
        <w:tc>
          <w:tcPr>
            <w:tcW w:w="1150" w:type="dxa"/>
            <w:tcBorders>
              <w:top w:val="nil"/>
              <w:left w:val="nil"/>
              <w:bottom w:val="single" w:sz="4" w:space="0" w:color="auto"/>
              <w:right w:val="single" w:sz="4" w:space="0" w:color="auto"/>
            </w:tcBorders>
            <w:noWrap/>
            <w:vAlign w:val="center"/>
          </w:tcPr>
          <w:p w14:paraId="34BA6B5F"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11.61 </w:t>
            </w:r>
          </w:p>
        </w:tc>
        <w:tc>
          <w:tcPr>
            <w:tcW w:w="1006" w:type="dxa"/>
            <w:tcBorders>
              <w:top w:val="nil"/>
              <w:left w:val="nil"/>
              <w:bottom w:val="single" w:sz="4" w:space="0" w:color="auto"/>
              <w:right w:val="single" w:sz="4" w:space="0" w:color="auto"/>
            </w:tcBorders>
            <w:noWrap/>
            <w:vAlign w:val="center"/>
          </w:tcPr>
          <w:p w14:paraId="6EB5FB6B"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17.62 </w:t>
            </w:r>
          </w:p>
        </w:tc>
        <w:tc>
          <w:tcPr>
            <w:tcW w:w="975" w:type="dxa"/>
            <w:tcBorders>
              <w:top w:val="nil"/>
              <w:left w:val="nil"/>
              <w:bottom w:val="single" w:sz="4" w:space="0" w:color="auto"/>
              <w:right w:val="single" w:sz="4" w:space="0" w:color="auto"/>
            </w:tcBorders>
            <w:noWrap/>
            <w:vAlign w:val="center"/>
          </w:tcPr>
          <w:p w14:paraId="567B24E4"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11.2 </w:t>
            </w:r>
          </w:p>
        </w:tc>
        <w:tc>
          <w:tcPr>
            <w:tcW w:w="1094" w:type="dxa"/>
            <w:tcBorders>
              <w:top w:val="nil"/>
              <w:left w:val="nil"/>
              <w:bottom w:val="single" w:sz="4" w:space="0" w:color="auto"/>
              <w:right w:val="single" w:sz="4" w:space="0" w:color="auto"/>
            </w:tcBorders>
            <w:noWrap/>
            <w:vAlign w:val="center"/>
          </w:tcPr>
          <w:p w14:paraId="4D4323C2"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40.9 </w:t>
            </w:r>
          </w:p>
        </w:tc>
        <w:tc>
          <w:tcPr>
            <w:tcW w:w="1111" w:type="dxa"/>
            <w:tcBorders>
              <w:top w:val="nil"/>
              <w:left w:val="nil"/>
              <w:bottom w:val="single" w:sz="4" w:space="0" w:color="auto"/>
              <w:right w:val="single" w:sz="4" w:space="0" w:color="auto"/>
            </w:tcBorders>
            <w:noWrap/>
            <w:vAlign w:val="center"/>
          </w:tcPr>
          <w:p w14:paraId="23BF96A8"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60.7 </w:t>
            </w:r>
          </w:p>
        </w:tc>
      </w:tr>
      <w:tr w:rsidR="00136F89" w:rsidRPr="00AE1778" w14:paraId="31009DEC" w14:textId="77777777">
        <w:trPr>
          <w:trHeight w:val="228"/>
          <w:jc w:val="center"/>
        </w:trPr>
        <w:tc>
          <w:tcPr>
            <w:tcW w:w="992" w:type="dxa"/>
            <w:tcBorders>
              <w:top w:val="nil"/>
              <w:left w:val="single" w:sz="4" w:space="0" w:color="auto"/>
              <w:bottom w:val="single" w:sz="4" w:space="0" w:color="auto"/>
              <w:right w:val="single" w:sz="4" w:space="0" w:color="auto"/>
            </w:tcBorders>
            <w:noWrap/>
            <w:vAlign w:val="center"/>
          </w:tcPr>
          <w:p w14:paraId="04D1ACF4"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kern w:val="0"/>
                <w:sz w:val="21"/>
                <w:szCs w:val="21"/>
              </w:rPr>
              <w:t>Lcn0280</w:t>
            </w:r>
          </w:p>
        </w:tc>
        <w:tc>
          <w:tcPr>
            <w:tcW w:w="849" w:type="dxa"/>
            <w:tcBorders>
              <w:top w:val="nil"/>
              <w:left w:val="nil"/>
              <w:bottom w:val="single" w:sz="4" w:space="0" w:color="auto"/>
              <w:right w:val="nil"/>
            </w:tcBorders>
            <w:vAlign w:val="center"/>
          </w:tcPr>
          <w:p w14:paraId="7AE4C1E9"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35</w:t>
            </w:r>
          </w:p>
        </w:tc>
        <w:tc>
          <w:tcPr>
            <w:tcW w:w="1060" w:type="dxa"/>
            <w:tcBorders>
              <w:top w:val="nil"/>
              <w:left w:val="nil"/>
              <w:bottom w:val="single" w:sz="4" w:space="0" w:color="auto"/>
              <w:right w:val="single" w:sz="4" w:space="0" w:color="auto"/>
            </w:tcBorders>
            <w:noWrap/>
            <w:vAlign w:val="center"/>
          </w:tcPr>
          <w:p w14:paraId="34F00D78"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8.22 </w:t>
            </w:r>
          </w:p>
        </w:tc>
        <w:tc>
          <w:tcPr>
            <w:tcW w:w="1024" w:type="dxa"/>
            <w:tcBorders>
              <w:top w:val="nil"/>
              <w:left w:val="nil"/>
              <w:bottom w:val="single" w:sz="4" w:space="0" w:color="auto"/>
              <w:right w:val="single" w:sz="4" w:space="0" w:color="auto"/>
            </w:tcBorders>
            <w:noWrap/>
            <w:vAlign w:val="center"/>
          </w:tcPr>
          <w:p w14:paraId="784177F4"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3.52 </w:t>
            </w:r>
          </w:p>
        </w:tc>
        <w:tc>
          <w:tcPr>
            <w:tcW w:w="1150" w:type="dxa"/>
            <w:tcBorders>
              <w:top w:val="nil"/>
              <w:left w:val="nil"/>
              <w:bottom w:val="single" w:sz="4" w:space="0" w:color="auto"/>
              <w:right w:val="single" w:sz="4" w:space="0" w:color="auto"/>
            </w:tcBorders>
            <w:noWrap/>
            <w:vAlign w:val="center"/>
          </w:tcPr>
          <w:p w14:paraId="02A3B0CC"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12.17 </w:t>
            </w:r>
          </w:p>
        </w:tc>
        <w:tc>
          <w:tcPr>
            <w:tcW w:w="1006" w:type="dxa"/>
            <w:tcBorders>
              <w:top w:val="nil"/>
              <w:left w:val="nil"/>
              <w:bottom w:val="single" w:sz="4" w:space="0" w:color="auto"/>
              <w:right w:val="single" w:sz="4" w:space="0" w:color="auto"/>
            </w:tcBorders>
            <w:noWrap/>
            <w:vAlign w:val="center"/>
          </w:tcPr>
          <w:p w14:paraId="5CC23DFA"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22.01 </w:t>
            </w:r>
          </w:p>
        </w:tc>
        <w:tc>
          <w:tcPr>
            <w:tcW w:w="975" w:type="dxa"/>
            <w:tcBorders>
              <w:top w:val="nil"/>
              <w:left w:val="nil"/>
              <w:bottom w:val="single" w:sz="4" w:space="0" w:color="auto"/>
              <w:right w:val="single" w:sz="4" w:space="0" w:color="auto"/>
            </w:tcBorders>
            <w:noWrap/>
            <w:vAlign w:val="center"/>
          </w:tcPr>
          <w:p w14:paraId="22D07EAF"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14.3 </w:t>
            </w:r>
          </w:p>
        </w:tc>
        <w:tc>
          <w:tcPr>
            <w:tcW w:w="1094" w:type="dxa"/>
            <w:tcBorders>
              <w:top w:val="nil"/>
              <w:left w:val="nil"/>
              <w:bottom w:val="single" w:sz="4" w:space="0" w:color="auto"/>
              <w:right w:val="single" w:sz="4" w:space="0" w:color="auto"/>
            </w:tcBorders>
            <w:noWrap/>
            <w:vAlign w:val="center"/>
          </w:tcPr>
          <w:p w14:paraId="3398C868"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42.7 </w:t>
            </w:r>
          </w:p>
        </w:tc>
        <w:tc>
          <w:tcPr>
            <w:tcW w:w="1111" w:type="dxa"/>
            <w:tcBorders>
              <w:top w:val="nil"/>
              <w:left w:val="nil"/>
              <w:bottom w:val="single" w:sz="4" w:space="0" w:color="auto"/>
              <w:right w:val="single" w:sz="4" w:space="0" w:color="auto"/>
            </w:tcBorders>
            <w:noWrap/>
            <w:vAlign w:val="center"/>
          </w:tcPr>
          <w:p w14:paraId="074D068A" w14:textId="77777777" w:rsidR="00136F89" w:rsidRPr="00AE1778" w:rsidRDefault="0090020D">
            <w:pPr>
              <w:jc w:val="center"/>
              <w:rPr>
                <w:rFonts w:ascii="Times New Roman" w:eastAsia="等线" w:hAnsi="Times New Roman" w:cs="Times New Roman"/>
                <w:color w:val="000000"/>
                <w:kern w:val="0"/>
                <w:sz w:val="21"/>
                <w:szCs w:val="21"/>
              </w:rPr>
            </w:pPr>
            <w:r w:rsidRPr="00AE1778">
              <w:rPr>
                <w:rFonts w:ascii="Times New Roman" w:eastAsia="等线" w:hAnsi="Times New Roman" w:cs="Times New Roman"/>
                <w:color w:val="000000"/>
                <w:sz w:val="21"/>
                <w:szCs w:val="21"/>
              </w:rPr>
              <w:t xml:space="preserve">75.1 </w:t>
            </w:r>
          </w:p>
        </w:tc>
      </w:tr>
    </w:tbl>
    <w:p w14:paraId="334B8EAF" w14:textId="77777777" w:rsidR="00D528C4" w:rsidRDefault="00D528C4" w:rsidP="00D528C4">
      <w:pPr>
        <w:spacing w:line="360" w:lineRule="auto"/>
        <w:ind w:firstLineChars="200" w:firstLine="480"/>
        <w:rPr>
          <w:rFonts w:ascii="Times New Roman" w:hAnsi="Times New Roman" w:cs="Times New Roman"/>
        </w:rPr>
      </w:pPr>
    </w:p>
    <w:p w14:paraId="7FB72CA4" w14:textId="2F738F04" w:rsidR="00136F89" w:rsidRDefault="00D528C4">
      <w:pPr>
        <w:keepNext/>
        <w:spacing w:line="360" w:lineRule="auto"/>
        <w:jc w:val="center"/>
        <w:rPr>
          <w:rFonts w:eastAsia="仿宋"/>
        </w:rPr>
      </w:pPr>
      <w:r w:rsidRPr="002F0D58">
        <w:rPr>
          <w:rFonts w:eastAsia="仿宋"/>
          <w:noProof/>
        </w:rPr>
        <w:lastRenderedPageBreak/>
        <w:drawing>
          <wp:inline distT="0" distB="0" distL="0" distR="0" wp14:anchorId="389B5446" wp14:editId="7F425BCC">
            <wp:extent cx="5274310" cy="7552055"/>
            <wp:effectExtent l="0" t="0" r="2540" b="0"/>
            <wp:docPr id="172004550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7552055"/>
                    </a:xfrm>
                    <a:prstGeom prst="rect">
                      <a:avLst/>
                    </a:prstGeom>
                    <a:noFill/>
                    <a:ln>
                      <a:noFill/>
                    </a:ln>
                  </pic:spPr>
                </pic:pic>
              </a:graphicData>
            </a:graphic>
          </wp:inline>
        </w:drawing>
      </w:r>
    </w:p>
    <w:p w14:paraId="31387B7A" w14:textId="77777777" w:rsidR="00136F89" w:rsidRPr="008141ED" w:rsidRDefault="0090020D">
      <w:pPr>
        <w:spacing w:line="360" w:lineRule="auto"/>
        <w:jc w:val="center"/>
        <w:rPr>
          <w:rFonts w:ascii="Times New Roman" w:eastAsia="仿宋" w:hAnsi="Times New Roman" w:cs="Times New Roman"/>
          <w:sz w:val="21"/>
          <w:szCs w:val="16"/>
        </w:rPr>
      </w:pPr>
      <w:bookmarkStart w:id="10" w:name="_Ref17953"/>
      <w:r w:rsidRPr="008141ED">
        <w:rPr>
          <w:rFonts w:ascii="Times New Roman" w:eastAsia="仿宋" w:hAnsi="Times New Roman" w:cs="Times New Roman"/>
          <w:sz w:val="21"/>
          <w:szCs w:val="16"/>
        </w:rPr>
        <w:t>图</w:t>
      </w:r>
      <w:r w:rsidRPr="008141ED">
        <w:rPr>
          <w:rFonts w:ascii="Times New Roman" w:eastAsia="仿宋" w:hAnsi="Times New Roman" w:cs="Times New Roman"/>
          <w:sz w:val="21"/>
          <w:szCs w:val="16"/>
        </w:rPr>
        <w:t>6-</w:t>
      </w:r>
      <w:r w:rsidRPr="008141ED">
        <w:rPr>
          <w:rFonts w:ascii="Times New Roman" w:eastAsia="仿宋" w:hAnsi="Times New Roman" w:cs="Times New Roman"/>
          <w:sz w:val="21"/>
          <w:szCs w:val="16"/>
        </w:rPr>
        <w:fldChar w:fldCharType="begin"/>
      </w:r>
      <w:r w:rsidRPr="008141ED">
        <w:rPr>
          <w:rFonts w:ascii="Times New Roman" w:eastAsia="仿宋" w:hAnsi="Times New Roman" w:cs="Times New Roman"/>
          <w:sz w:val="21"/>
          <w:szCs w:val="16"/>
        </w:rPr>
        <w:instrText xml:space="preserve"> SEQ </w:instrText>
      </w:r>
      <w:r w:rsidRPr="008141ED">
        <w:rPr>
          <w:rFonts w:ascii="Times New Roman" w:eastAsia="仿宋" w:hAnsi="Times New Roman" w:cs="Times New Roman"/>
          <w:sz w:val="21"/>
          <w:szCs w:val="16"/>
        </w:rPr>
        <w:instrText>图</w:instrText>
      </w:r>
      <w:r w:rsidRPr="008141ED">
        <w:rPr>
          <w:rFonts w:ascii="Times New Roman" w:eastAsia="仿宋" w:hAnsi="Times New Roman" w:cs="Times New Roman"/>
          <w:sz w:val="21"/>
          <w:szCs w:val="16"/>
        </w:rPr>
        <w:instrText xml:space="preserve">6- \* ARABIC </w:instrText>
      </w:r>
      <w:r w:rsidRPr="008141ED">
        <w:rPr>
          <w:rFonts w:ascii="Times New Roman" w:eastAsia="仿宋" w:hAnsi="Times New Roman" w:cs="Times New Roman"/>
          <w:sz w:val="21"/>
          <w:szCs w:val="16"/>
        </w:rPr>
        <w:fldChar w:fldCharType="separate"/>
      </w:r>
      <w:r w:rsidRPr="008141ED">
        <w:rPr>
          <w:rFonts w:ascii="Times New Roman" w:eastAsia="仿宋" w:hAnsi="Times New Roman" w:cs="Times New Roman"/>
          <w:sz w:val="21"/>
          <w:szCs w:val="16"/>
        </w:rPr>
        <w:t>1</w:t>
      </w:r>
      <w:r w:rsidRPr="008141ED">
        <w:rPr>
          <w:rFonts w:ascii="Times New Roman" w:eastAsia="仿宋" w:hAnsi="Times New Roman" w:cs="Times New Roman"/>
          <w:sz w:val="21"/>
          <w:szCs w:val="16"/>
        </w:rPr>
        <w:fldChar w:fldCharType="end"/>
      </w:r>
      <w:bookmarkEnd w:id="10"/>
      <w:r w:rsidRPr="008141ED">
        <w:rPr>
          <w:rFonts w:ascii="Times New Roman" w:eastAsia="仿宋" w:hAnsi="Times New Roman" w:cs="Times New Roman"/>
          <w:sz w:val="21"/>
          <w:szCs w:val="16"/>
        </w:rPr>
        <w:t xml:space="preserve">  </w:t>
      </w:r>
      <w:r w:rsidRPr="008141ED">
        <w:rPr>
          <w:rFonts w:ascii="Times New Roman" w:eastAsia="仿宋" w:hAnsi="Times New Roman" w:cs="Times New Roman"/>
          <w:sz w:val="21"/>
          <w:szCs w:val="16"/>
        </w:rPr>
        <w:t>不同速度中子测井的数据处理结果曲线</w:t>
      </w:r>
      <w:r w:rsidRPr="008141ED">
        <w:rPr>
          <w:rFonts w:ascii="Times New Roman" w:eastAsia="仿宋" w:hAnsi="Times New Roman" w:cs="Times New Roman"/>
          <w:sz w:val="21"/>
          <w:szCs w:val="16"/>
        </w:rPr>
        <w:t>(M-WT-5)</w:t>
      </w:r>
    </w:p>
    <w:p w14:paraId="5EE5C060"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2025</w:t>
      </w:r>
      <w:r>
        <w:rPr>
          <w:rFonts w:ascii="Times New Roman" w:hAnsi="Times New Roman" w:cs="Times New Roman" w:hint="eastAsia"/>
        </w:rPr>
        <w:t>年</w:t>
      </w:r>
      <w:r>
        <w:rPr>
          <w:rFonts w:ascii="Times New Roman" w:hAnsi="Times New Roman" w:cs="Times New Roman" w:hint="eastAsia"/>
        </w:rPr>
        <w:t>3</w:t>
      </w:r>
      <w:r>
        <w:rPr>
          <w:rFonts w:ascii="Times New Roman" w:hAnsi="Times New Roman" w:cs="Times New Roman" w:hint="eastAsia"/>
        </w:rPr>
        <w:t>月至</w:t>
      </w:r>
      <w:r>
        <w:rPr>
          <w:rFonts w:ascii="Times New Roman" w:hAnsi="Times New Roman" w:cs="Times New Roman" w:hint="eastAsia"/>
        </w:rPr>
        <w:t>10</w:t>
      </w:r>
      <w:r>
        <w:rPr>
          <w:rFonts w:ascii="Times New Roman" w:hAnsi="Times New Roman" w:cs="Times New Roman" w:hint="eastAsia"/>
        </w:rPr>
        <w:t>月，</w:t>
      </w:r>
      <w:r>
        <w:rPr>
          <w:rFonts w:ascii="Times New Roman" w:hAnsi="Times New Roman" w:cs="Times New Roman"/>
        </w:rPr>
        <w:t>根据直接铀含量探测</w:t>
      </w:r>
      <w:proofErr w:type="gramStart"/>
      <w:r>
        <w:rPr>
          <w:rFonts w:ascii="Times New Roman" w:hAnsi="Times New Roman" w:cs="Times New Roman"/>
        </w:rPr>
        <w:t>限评价</w:t>
      </w:r>
      <w:proofErr w:type="gramEnd"/>
      <w:r>
        <w:rPr>
          <w:rFonts w:ascii="Times New Roman" w:hAnsi="Times New Roman" w:cs="Times New Roman"/>
        </w:rPr>
        <w:t>方法，使用中子测井仪</w:t>
      </w:r>
      <w:r>
        <w:rPr>
          <w:rFonts w:ascii="Times New Roman" w:hAnsi="Times New Roman" w:cs="Times New Roman" w:hint="eastAsia"/>
        </w:rPr>
        <w:t>在甘肃新庄铀矿</w:t>
      </w:r>
      <w:proofErr w:type="gramStart"/>
      <w:r>
        <w:rPr>
          <w:rFonts w:ascii="Times New Roman" w:hAnsi="Times New Roman" w:cs="Times New Roman" w:hint="eastAsia"/>
        </w:rPr>
        <w:t>勘查区</w:t>
      </w:r>
      <w:proofErr w:type="gramEnd"/>
      <w:r>
        <w:rPr>
          <w:rFonts w:ascii="Times New Roman" w:hAnsi="Times New Roman" w:cs="Times New Roman" w:hint="eastAsia"/>
        </w:rPr>
        <w:t>的</w:t>
      </w:r>
      <w:r>
        <w:rPr>
          <w:rFonts w:ascii="Times New Roman" w:hAnsi="Times New Roman" w:cs="Times New Roman"/>
        </w:rPr>
        <w:t>钻孔本底层采集数据进行计算。对野外</w:t>
      </w:r>
      <w:r>
        <w:rPr>
          <w:rFonts w:ascii="Times New Roman" w:hAnsi="Times New Roman" w:cs="Times New Roman"/>
        </w:rPr>
        <w:t>17</w:t>
      </w:r>
      <w:r>
        <w:rPr>
          <w:rFonts w:ascii="Times New Roman" w:hAnsi="Times New Roman" w:cs="Times New Roman"/>
        </w:rPr>
        <w:t>次（包括重复</w:t>
      </w:r>
      <w:r>
        <w:rPr>
          <w:rFonts w:ascii="Times New Roman" w:hAnsi="Times New Roman" w:cs="Times New Roman"/>
        </w:rPr>
        <w:lastRenderedPageBreak/>
        <w:t>测井）采集的中子测井数据进行统计，本底层</w:t>
      </w:r>
      <w:r>
        <w:rPr>
          <w:rFonts w:ascii="Times New Roman" w:hAnsi="Times New Roman" w:cs="Times New Roman" w:hint="eastAsia"/>
        </w:rPr>
        <w:t>测井速度不超过</w:t>
      </w:r>
      <w:r>
        <w:rPr>
          <w:rFonts w:ascii="Times New Roman" w:hAnsi="Times New Roman" w:cs="Times New Roman" w:hint="eastAsia"/>
        </w:rPr>
        <w:t>3m/min</w:t>
      </w:r>
      <w:r>
        <w:rPr>
          <w:rFonts w:ascii="Times New Roman" w:hAnsi="Times New Roman" w:cs="Times New Roman" w:hint="eastAsia"/>
        </w:rPr>
        <w:t>条件下，不同钻孔的</w:t>
      </w:r>
      <w:r>
        <w:rPr>
          <w:rFonts w:ascii="Times New Roman" w:hAnsi="Times New Roman" w:cs="Times New Roman"/>
        </w:rPr>
        <w:t>统计深度在</w:t>
      </w:r>
      <w:r>
        <w:rPr>
          <w:rFonts w:ascii="Times New Roman" w:hAnsi="Times New Roman" w:cs="Times New Roman"/>
        </w:rPr>
        <w:t>10~200m</w:t>
      </w:r>
      <w:r>
        <w:rPr>
          <w:rFonts w:ascii="Times New Roman" w:hAnsi="Times New Roman" w:cs="Times New Roman" w:hint="eastAsia"/>
        </w:rPr>
        <w:t>区间的</w:t>
      </w:r>
      <w:r>
        <w:rPr>
          <w:rFonts w:ascii="Times New Roman" w:hAnsi="Times New Roman" w:cs="Times New Roman"/>
        </w:rPr>
        <w:t>直接铀含量实验标准偏差在</w:t>
      </w:r>
      <w:r>
        <w:rPr>
          <w:rFonts w:ascii="Times New Roman" w:hAnsi="Times New Roman" w:cs="Times New Roman"/>
        </w:rPr>
        <w:t>(6.7~12.7)×10</w:t>
      </w:r>
      <w:r>
        <w:rPr>
          <w:rFonts w:ascii="Times New Roman" w:hAnsi="Times New Roman" w:cs="Times New Roman"/>
          <w:vertAlign w:val="superscript"/>
        </w:rPr>
        <w:t>-6</w:t>
      </w:r>
      <w:r>
        <w:rPr>
          <w:rFonts w:ascii="Times New Roman" w:hAnsi="Times New Roman" w:cs="Times New Roman"/>
        </w:rPr>
        <w:t>，探测限在</w:t>
      </w:r>
      <w:r>
        <w:rPr>
          <w:rFonts w:ascii="Times New Roman" w:hAnsi="Times New Roman" w:cs="Times New Roman"/>
        </w:rPr>
        <w:t>(11.1~20.9)×10</w:t>
      </w:r>
      <w:r>
        <w:rPr>
          <w:rFonts w:ascii="Times New Roman" w:hAnsi="Times New Roman" w:cs="Times New Roman"/>
          <w:vertAlign w:val="superscript"/>
        </w:rPr>
        <w:t>-6</w:t>
      </w:r>
      <w:r>
        <w:rPr>
          <w:rFonts w:ascii="Times New Roman" w:hAnsi="Times New Roman" w:cs="Times New Roman"/>
        </w:rPr>
        <w:t>，优于</w:t>
      </w:r>
      <w:r>
        <w:rPr>
          <w:rFonts w:ascii="Times New Roman" w:hAnsi="Times New Roman" w:cs="Times New Roman"/>
        </w:rPr>
        <w:t>50×10</w:t>
      </w:r>
      <w:r>
        <w:rPr>
          <w:rFonts w:ascii="Times New Roman" w:hAnsi="Times New Roman" w:cs="Times New Roman"/>
          <w:vertAlign w:val="superscript"/>
        </w:rPr>
        <w:t>-6</w:t>
      </w:r>
      <w:r>
        <w:rPr>
          <w:rFonts w:ascii="Times New Roman" w:hAnsi="Times New Roman" w:cs="Times New Roman"/>
        </w:rPr>
        <w:t>的</w:t>
      </w:r>
      <w:r>
        <w:rPr>
          <w:rFonts w:ascii="Times New Roman" w:hAnsi="Times New Roman" w:cs="Times New Roman" w:hint="eastAsia"/>
        </w:rPr>
        <w:t>规范要求</w:t>
      </w:r>
      <w:r>
        <w:rPr>
          <w:rFonts w:ascii="Times New Roman" w:hAnsi="Times New Roman" w:cs="Times New Roman"/>
        </w:rPr>
        <w:t>，见</w:t>
      </w:r>
      <w:r>
        <w:rPr>
          <w:rFonts w:ascii="Times New Roman" w:hAnsi="Times New Roman" w:cs="Times New Roman"/>
        </w:rPr>
        <w:fldChar w:fldCharType="begin"/>
      </w:r>
      <w:r>
        <w:rPr>
          <w:rFonts w:ascii="Times New Roman" w:hAnsi="Times New Roman" w:cs="Times New Roman"/>
        </w:rPr>
        <w:instrText xml:space="preserve"> REF _Ref18276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图</w:t>
      </w:r>
      <w:r>
        <w:rPr>
          <w:rFonts w:ascii="Times New Roman" w:hAnsi="Times New Roman" w:cs="Times New Roman"/>
        </w:rPr>
        <w:t>6-2</w:t>
      </w:r>
      <w:r>
        <w:rPr>
          <w:rFonts w:ascii="Times New Roman" w:hAnsi="Times New Roman" w:cs="Times New Roman"/>
        </w:rPr>
        <w:fldChar w:fldCharType="end"/>
      </w:r>
      <w:r>
        <w:rPr>
          <w:rFonts w:ascii="Times New Roman" w:hAnsi="Times New Roman" w:cs="Times New Roman"/>
        </w:rPr>
        <w:t>。</w:t>
      </w:r>
    </w:p>
    <w:p w14:paraId="60AB638E" w14:textId="77777777" w:rsidR="00136F89" w:rsidRDefault="0090020D">
      <w:pPr>
        <w:keepNext/>
        <w:spacing w:line="360" w:lineRule="auto"/>
        <w:jc w:val="center"/>
        <w:rPr>
          <w:rFonts w:eastAsia="仿宋"/>
          <w:sz w:val="21"/>
          <w:szCs w:val="21"/>
        </w:rPr>
      </w:pPr>
      <w:r>
        <w:rPr>
          <w:rFonts w:eastAsia="仿宋"/>
          <w:noProof/>
          <w:sz w:val="21"/>
          <w:szCs w:val="21"/>
        </w:rPr>
        <w:drawing>
          <wp:inline distT="0" distB="0" distL="0" distR="0" wp14:anchorId="2CA85774" wp14:editId="512FB8A2">
            <wp:extent cx="5187315" cy="1918335"/>
            <wp:effectExtent l="0" t="0" r="3810" b="5715"/>
            <wp:docPr id="1982189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8940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187600" cy="1918800"/>
                    </a:xfrm>
                    <a:prstGeom prst="rect">
                      <a:avLst/>
                    </a:prstGeom>
                    <a:noFill/>
                  </pic:spPr>
                </pic:pic>
              </a:graphicData>
            </a:graphic>
          </wp:inline>
        </w:drawing>
      </w:r>
    </w:p>
    <w:p w14:paraId="2A172BFC" w14:textId="77777777" w:rsidR="00136F89" w:rsidRPr="008141ED" w:rsidRDefault="0090020D">
      <w:pPr>
        <w:spacing w:line="360" w:lineRule="auto"/>
        <w:jc w:val="center"/>
        <w:rPr>
          <w:rFonts w:ascii="Times New Roman" w:eastAsia="仿宋" w:hAnsi="Times New Roman" w:cs="Times New Roman"/>
          <w:color w:val="000000"/>
          <w:sz w:val="21"/>
        </w:rPr>
      </w:pPr>
      <w:bookmarkStart w:id="11" w:name="_Ref18276"/>
      <w:r w:rsidRPr="008141ED">
        <w:rPr>
          <w:rFonts w:ascii="Times New Roman" w:eastAsia="仿宋" w:hAnsi="Times New Roman" w:cs="Times New Roman"/>
          <w:color w:val="000000"/>
          <w:sz w:val="21"/>
        </w:rPr>
        <w:t>图</w:t>
      </w:r>
      <w:r w:rsidRPr="008141ED">
        <w:rPr>
          <w:rFonts w:ascii="Times New Roman" w:eastAsia="仿宋" w:hAnsi="Times New Roman" w:cs="Times New Roman"/>
          <w:color w:val="000000"/>
          <w:sz w:val="21"/>
        </w:rPr>
        <w:t>6-</w:t>
      </w:r>
      <w:r w:rsidRPr="008141ED">
        <w:rPr>
          <w:rFonts w:ascii="Times New Roman" w:eastAsia="仿宋" w:hAnsi="Times New Roman" w:cs="Times New Roman"/>
          <w:color w:val="000000"/>
          <w:sz w:val="21"/>
        </w:rPr>
        <w:fldChar w:fldCharType="begin"/>
      </w:r>
      <w:r w:rsidRPr="008141ED">
        <w:rPr>
          <w:rFonts w:ascii="Times New Roman" w:eastAsia="仿宋" w:hAnsi="Times New Roman" w:cs="Times New Roman"/>
          <w:color w:val="000000"/>
          <w:sz w:val="21"/>
        </w:rPr>
        <w:instrText xml:space="preserve"> SEQ </w:instrText>
      </w:r>
      <w:r w:rsidRPr="008141ED">
        <w:rPr>
          <w:rFonts w:ascii="Times New Roman" w:eastAsia="仿宋" w:hAnsi="Times New Roman" w:cs="Times New Roman"/>
          <w:color w:val="000000"/>
          <w:sz w:val="21"/>
        </w:rPr>
        <w:instrText>图</w:instrText>
      </w:r>
      <w:r w:rsidRPr="008141ED">
        <w:rPr>
          <w:rFonts w:ascii="Times New Roman" w:eastAsia="仿宋" w:hAnsi="Times New Roman" w:cs="Times New Roman"/>
          <w:color w:val="000000"/>
          <w:sz w:val="21"/>
        </w:rPr>
        <w:instrText xml:space="preserve">6- \* ARABIC </w:instrText>
      </w:r>
      <w:r w:rsidRPr="008141ED">
        <w:rPr>
          <w:rFonts w:ascii="Times New Roman" w:eastAsia="仿宋" w:hAnsi="Times New Roman" w:cs="Times New Roman"/>
          <w:color w:val="000000"/>
          <w:sz w:val="21"/>
        </w:rPr>
        <w:fldChar w:fldCharType="separate"/>
      </w:r>
      <w:r w:rsidRPr="008141ED">
        <w:rPr>
          <w:rFonts w:ascii="Times New Roman" w:eastAsia="仿宋" w:hAnsi="Times New Roman" w:cs="Times New Roman"/>
          <w:color w:val="000000"/>
          <w:sz w:val="21"/>
        </w:rPr>
        <w:t>2</w:t>
      </w:r>
      <w:r w:rsidRPr="008141ED">
        <w:rPr>
          <w:rFonts w:ascii="Times New Roman" w:eastAsia="仿宋" w:hAnsi="Times New Roman" w:cs="Times New Roman"/>
          <w:color w:val="000000"/>
          <w:sz w:val="21"/>
        </w:rPr>
        <w:fldChar w:fldCharType="end"/>
      </w:r>
      <w:bookmarkEnd w:id="11"/>
      <w:r w:rsidRPr="008141ED">
        <w:rPr>
          <w:rFonts w:ascii="Times New Roman" w:eastAsia="仿宋" w:hAnsi="Times New Roman" w:cs="Times New Roman"/>
          <w:color w:val="000000"/>
          <w:sz w:val="21"/>
        </w:rPr>
        <w:t xml:space="preserve">  </w:t>
      </w:r>
      <w:r w:rsidRPr="008141ED">
        <w:rPr>
          <w:rFonts w:ascii="Times New Roman" w:eastAsia="仿宋" w:hAnsi="Times New Roman" w:cs="Times New Roman"/>
          <w:color w:val="000000"/>
          <w:sz w:val="21"/>
        </w:rPr>
        <w:t>中子测井探测</w:t>
      </w:r>
      <w:proofErr w:type="gramStart"/>
      <w:r w:rsidRPr="008141ED">
        <w:rPr>
          <w:rFonts w:ascii="Times New Roman" w:eastAsia="仿宋" w:hAnsi="Times New Roman" w:cs="Times New Roman"/>
          <w:color w:val="000000"/>
          <w:sz w:val="21"/>
        </w:rPr>
        <w:t>限统计</w:t>
      </w:r>
      <w:proofErr w:type="gramEnd"/>
      <w:r w:rsidRPr="008141ED">
        <w:rPr>
          <w:rFonts w:ascii="Times New Roman" w:eastAsia="仿宋" w:hAnsi="Times New Roman" w:cs="Times New Roman"/>
          <w:color w:val="000000"/>
          <w:sz w:val="21"/>
        </w:rPr>
        <w:t>结果</w:t>
      </w:r>
      <w:r w:rsidRPr="008141ED">
        <w:rPr>
          <w:rFonts w:ascii="Times New Roman" w:eastAsia="仿宋" w:hAnsi="Times New Roman" w:cs="Times New Roman"/>
          <w:color w:val="000000"/>
          <w:sz w:val="21"/>
        </w:rPr>
        <w:t>1</w:t>
      </w:r>
    </w:p>
    <w:p w14:paraId="55FF1D84"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rPr>
        <w:t>2025</w:t>
      </w:r>
      <w:r>
        <w:rPr>
          <w:rFonts w:ascii="Times New Roman" w:hAnsi="Times New Roman" w:cs="Times New Roman"/>
        </w:rPr>
        <w:t>年</w:t>
      </w:r>
      <w:r>
        <w:rPr>
          <w:rFonts w:ascii="Times New Roman" w:hAnsi="Times New Roman" w:cs="Times New Roman"/>
        </w:rPr>
        <w:t>4</w:t>
      </w:r>
      <w:r>
        <w:rPr>
          <w:rFonts w:ascii="Times New Roman" w:hAnsi="Times New Roman" w:cs="Times New Roman"/>
        </w:rPr>
        <w:t>月至</w:t>
      </w:r>
      <w:r>
        <w:rPr>
          <w:rFonts w:ascii="Times New Roman" w:hAnsi="Times New Roman" w:cs="Times New Roman"/>
        </w:rPr>
        <w:t>8</w:t>
      </w:r>
      <w:r>
        <w:rPr>
          <w:rFonts w:ascii="Times New Roman" w:hAnsi="Times New Roman" w:cs="Times New Roman"/>
        </w:rPr>
        <w:t>月，使用中子测井仪在甘肃镇原铀矿</w:t>
      </w:r>
      <w:proofErr w:type="gramStart"/>
      <w:r>
        <w:rPr>
          <w:rFonts w:ascii="Times New Roman" w:hAnsi="Times New Roman" w:cs="Times New Roman"/>
        </w:rPr>
        <w:t>勘查区</w:t>
      </w:r>
      <w:proofErr w:type="gramEnd"/>
      <w:r>
        <w:rPr>
          <w:rFonts w:ascii="Times New Roman" w:hAnsi="Times New Roman" w:cs="Times New Roman"/>
        </w:rPr>
        <w:t>的钻孔本底层采集数据进行计算。对野外</w:t>
      </w:r>
      <w:r>
        <w:rPr>
          <w:rFonts w:ascii="Times New Roman" w:hAnsi="Times New Roman" w:cs="Times New Roman"/>
        </w:rPr>
        <w:t>23</w:t>
      </w:r>
      <w:r>
        <w:rPr>
          <w:rFonts w:ascii="Times New Roman" w:hAnsi="Times New Roman" w:cs="Times New Roman"/>
        </w:rPr>
        <w:t>次（包括重复测井）采集的中子测井数据进行统计，本底层测井速度不超过</w:t>
      </w:r>
      <w:r>
        <w:rPr>
          <w:rFonts w:ascii="Times New Roman" w:hAnsi="Times New Roman" w:cs="Times New Roman"/>
        </w:rPr>
        <w:t>3m/min</w:t>
      </w:r>
      <w:r>
        <w:rPr>
          <w:rFonts w:ascii="Times New Roman" w:hAnsi="Times New Roman" w:cs="Times New Roman"/>
        </w:rPr>
        <w:t>条件下，不同钻孔的统计深度在</w:t>
      </w:r>
      <w:r>
        <w:rPr>
          <w:rFonts w:ascii="Times New Roman" w:hAnsi="Times New Roman" w:cs="Times New Roman"/>
        </w:rPr>
        <w:t>13~70m</w:t>
      </w:r>
      <w:r>
        <w:rPr>
          <w:rFonts w:ascii="Times New Roman" w:hAnsi="Times New Roman" w:cs="Times New Roman"/>
        </w:rPr>
        <w:t>，直接铀含量实验标准偏差在</w:t>
      </w:r>
      <w:r>
        <w:rPr>
          <w:rFonts w:ascii="Times New Roman" w:hAnsi="Times New Roman" w:cs="Times New Roman"/>
        </w:rPr>
        <w:t>(7.0~23.0)×10</w:t>
      </w:r>
      <w:r>
        <w:rPr>
          <w:rFonts w:ascii="Times New Roman" w:hAnsi="Times New Roman" w:cs="Times New Roman"/>
          <w:vertAlign w:val="superscript"/>
        </w:rPr>
        <w:t>-6</w:t>
      </w:r>
      <w:r>
        <w:rPr>
          <w:rFonts w:ascii="Times New Roman" w:hAnsi="Times New Roman" w:cs="Times New Roman"/>
        </w:rPr>
        <w:t>，探测限在</w:t>
      </w:r>
      <w:r>
        <w:rPr>
          <w:rFonts w:ascii="Times New Roman" w:hAnsi="Times New Roman" w:cs="Times New Roman"/>
        </w:rPr>
        <w:t>(11.6~37.9)×10</w:t>
      </w:r>
      <w:r>
        <w:rPr>
          <w:rFonts w:ascii="Times New Roman" w:hAnsi="Times New Roman" w:cs="Times New Roman"/>
          <w:vertAlign w:val="superscript"/>
        </w:rPr>
        <w:t>-6</w:t>
      </w:r>
      <w:r>
        <w:rPr>
          <w:rFonts w:ascii="Times New Roman" w:hAnsi="Times New Roman" w:cs="Times New Roman"/>
        </w:rPr>
        <w:t>，优于</w:t>
      </w:r>
      <w:r>
        <w:rPr>
          <w:rFonts w:ascii="Times New Roman" w:hAnsi="Times New Roman" w:cs="Times New Roman"/>
        </w:rPr>
        <w:t>50×10</w:t>
      </w:r>
      <w:r>
        <w:rPr>
          <w:rFonts w:ascii="Times New Roman" w:hAnsi="Times New Roman" w:cs="Times New Roman"/>
          <w:vertAlign w:val="superscript"/>
        </w:rPr>
        <w:t>-6</w:t>
      </w:r>
      <w:r>
        <w:rPr>
          <w:rFonts w:ascii="Times New Roman" w:hAnsi="Times New Roman" w:cs="Times New Roman"/>
        </w:rPr>
        <w:t>的规范要求，见</w:t>
      </w:r>
      <w:r>
        <w:rPr>
          <w:rFonts w:ascii="Times New Roman" w:hAnsi="Times New Roman" w:cs="Times New Roman"/>
        </w:rPr>
        <w:fldChar w:fldCharType="begin"/>
      </w:r>
      <w:r>
        <w:rPr>
          <w:rFonts w:ascii="Times New Roman" w:hAnsi="Times New Roman" w:cs="Times New Roman"/>
        </w:rPr>
        <w:instrText xml:space="preserve"> REF _Ref18443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图</w:t>
      </w:r>
      <w:r>
        <w:rPr>
          <w:rFonts w:ascii="Times New Roman" w:hAnsi="Times New Roman" w:cs="Times New Roman"/>
        </w:rPr>
        <w:t>6-3</w:t>
      </w:r>
      <w:r>
        <w:rPr>
          <w:rFonts w:ascii="Times New Roman" w:hAnsi="Times New Roman" w:cs="Times New Roman"/>
        </w:rPr>
        <w:fldChar w:fldCharType="end"/>
      </w:r>
      <w:r>
        <w:rPr>
          <w:rFonts w:ascii="Times New Roman" w:hAnsi="Times New Roman" w:cs="Times New Roman"/>
        </w:rPr>
        <w:t>。</w:t>
      </w:r>
    </w:p>
    <w:p w14:paraId="4E5AA2A7" w14:textId="49019702" w:rsidR="00136F89" w:rsidRDefault="0090020D">
      <w:pPr>
        <w:spacing w:line="360" w:lineRule="auto"/>
        <w:ind w:firstLineChars="200" w:firstLine="480"/>
        <w:rPr>
          <w:rFonts w:eastAsia="仿宋"/>
          <w:color w:val="000000"/>
          <w:szCs w:val="24"/>
        </w:rPr>
      </w:pPr>
      <w:r>
        <w:rPr>
          <w:rFonts w:ascii="Times New Roman" w:hAnsi="Times New Roman" w:cs="Times New Roman" w:hint="eastAsia"/>
        </w:rPr>
        <w:t>因此，中子测井速度控制在</w:t>
      </w:r>
      <w:r>
        <w:rPr>
          <w:rFonts w:ascii="Times New Roman" w:hAnsi="Times New Roman" w:cs="Times New Roman" w:hint="eastAsia"/>
        </w:rPr>
        <w:t>1~3m/min</w:t>
      </w:r>
      <w:r>
        <w:rPr>
          <w:rFonts w:ascii="Times New Roman" w:hAnsi="Times New Roman" w:cs="Times New Roman" w:hint="eastAsia"/>
        </w:rPr>
        <w:t>，连续测井结果可满足铀矿勘查分辨铀含量</w:t>
      </w:r>
      <w:r>
        <w:rPr>
          <w:rFonts w:ascii="Times New Roman" w:hAnsi="Times New Roman" w:cs="Times New Roman" w:hint="eastAsia"/>
        </w:rPr>
        <w:t>50</w:t>
      </w:r>
      <w:r>
        <w:rPr>
          <w:rFonts w:ascii="Times New Roman" w:hAnsi="Times New Roman" w:cs="Times New Roman" w:hint="eastAsia"/>
        </w:rPr>
        <w:t>×</w:t>
      </w:r>
      <w:r>
        <w:rPr>
          <w:rFonts w:ascii="Times New Roman" w:hAnsi="Times New Roman" w:cs="Times New Roman" w:hint="eastAsia"/>
        </w:rPr>
        <w:t>10</w:t>
      </w:r>
      <w:r w:rsidRPr="00AE1778">
        <w:rPr>
          <w:rFonts w:ascii="Times New Roman" w:hAnsi="Times New Roman" w:cs="Times New Roman" w:hint="eastAsia"/>
          <w:vertAlign w:val="superscript"/>
        </w:rPr>
        <w:t>-6</w:t>
      </w:r>
      <w:r>
        <w:rPr>
          <w:rFonts w:ascii="Times New Roman" w:hAnsi="Times New Roman" w:cs="Times New Roman" w:hint="eastAsia"/>
        </w:rPr>
        <w:t>矿段的工作需要。</w:t>
      </w:r>
    </w:p>
    <w:p w14:paraId="061EADFF" w14:textId="77777777" w:rsidR="00136F89" w:rsidRDefault="0090020D">
      <w:pPr>
        <w:keepNext/>
        <w:snapToGrid w:val="0"/>
        <w:spacing w:line="360" w:lineRule="auto"/>
        <w:jc w:val="center"/>
        <w:rPr>
          <w:rFonts w:eastAsia="仿宋"/>
          <w:sz w:val="21"/>
          <w:szCs w:val="21"/>
        </w:rPr>
      </w:pPr>
      <w:r>
        <w:rPr>
          <w:rFonts w:eastAsia="仿宋"/>
          <w:noProof/>
          <w:sz w:val="21"/>
          <w:szCs w:val="21"/>
        </w:rPr>
        <w:drawing>
          <wp:inline distT="0" distB="0" distL="0" distR="0" wp14:anchorId="2ECB013C" wp14:editId="3CFB213B">
            <wp:extent cx="5198110" cy="1932940"/>
            <wp:effectExtent l="0" t="0" r="2540" b="635"/>
            <wp:docPr id="20264506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450645" name="图片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198400" cy="1933200"/>
                    </a:xfrm>
                    <a:prstGeom prst="rect">
                      <a:avLst/>
                    </a:prstGeom>
                    <a:noFill/>
                  </pic:spPr>
                </pic:pic>
              </a:graphicData>
            </a:graphic>
          </wp:inline>
        </w:drawing>
      </w:r>
    </w:p>
    <w:p w14:paraId="6205D47E" w14:textId="77777777" w:rsidR="00136F89" w:rsidRPr="008141ED" w:rsidRDefault="0090020D">
      <w:pPr>
        <w:spacing w:line="360" w:lineRule="auto"/>
        <w:jc w:val="center"/>
        <w:rPr>
          <w:rFonts w:ascii="Times New Roman" w:eastAsia="仿宋" w:hAnsi="Times New Roman" w:cs="Times New Roman"/>
          <w:color w:val="000000"/>
          <w:sz w:val="21"/>
        </w:rPr>
      </w:pPr>
      <w:bookmarkStart w:id="12" w:name="_Ref18443"/>
      <w:r w:rsidRPr="008141ED">
        <w:rPr>
          <w:rFonts w:ascii="Times New Roman" w:eastAsia="仿宋" w:hAnsi="Times New Roman" w:cs="Times New Roman"/>
          <w:color w:val="000000"/>
          <w:sz w:val="21"/>
        </w:rPr>
        <w:t>图</w:t>
      </w:r>
      <w:r w:rsidRPr="008141ED">
        <w:rPr>
          <w:rFonts w:ascii="Times New Roman" w:eastAsia="仿宋" w:hAnsi="Times New Roman" w:cs="Times New Roman"/>
          <w:color w:val="000000"/>
          <w:sz w:val="21"/>
        </w:rPr>
        <w:t>6-</w:t>
      </w:r>
      <w:r w:rsidRPr="008141ED">
        <w:rPr>
          <w:rFonts w:ascii="Times New Roman" w:eastAsia="仿宋" w:hAnsi="Times New Roman" w:cs="Times New Roman"/>
          <w:color w:val="000000"/>
          <w:sz w:val="21"/>
        </w:rPr>
        <w:fldChar w:fldCharType="begin"/>
      </w:r>
      <w:r w:rsidRPr="008141ED">
        <w:rPr>
          <w:rFonts w:ascii="Times New Roman" w:eastAsia="仿宋" w:hAnsi="Times New Roman" w:cs="Times New Roman"/>
          <w:color w:val="000000"/>
          <w:sz w:val="21"/>
        </w:rPr>
        <w:instrText xml:space="preserve"> SEQ </w:instrText>
      </w:r>
      <w:r w:rsidRPr="008141ED">
        <w:rPr>
          <w:rFonts w:ascii="Times New Roman" w:eastAsia="仿宋" w:hAnsi="Times New Roman" w:cs="Times New Roman"/>
          <w:color w:val="000000"/>
          <w:sz w:val="21"/>
        </w:rPr>
        <w:instrText>图</w:instrText>
      </w:r>
      <w:r w:rsidRPr="008141ED">
        <w:rPr>
          <w:rFonts w:ascii="Times New Roman" w:eastAsia="仿宋" w:hAnsi="Times New Roman" w:cs="Times New Roman"/>
          <w:color w:val="000000"/>
          <w:sz w:val="21"/>
        </w:rPr>
        <w:instrText xml:space="preserve">6- \* ARABIC </w:instrText>
      </w:r>
      <w:r w:rsidRPr="008141ED">
        <w:rPr>
          <w:rFonts w:ascii="Times New Roman" w:eastAsia="仿宋" w:hAnsi="Times New Roman" w:cs="Times New Roman"/>
          <w:color w:val="000000"/>
          <w:sz w:val="21"/>
        </w:rPr>
        <w:fldChar w:fldCharType="separate"/>
      </w:r>
      <w:r w:rsidRPr="008141ED">
        <w:rPr>
          <w:rFonts w:ascii="Times New Roman" w:eastAsia="仿宋" w:hAnsi="Times New Roman" w:cs="Times New Roman"/>
          <w:color w:val="000000"/>
          <w:sz w:val="21"/>
        </w:rPr>
        <w:t>3</w:t>
      </w:r>
      <w:r w:rsidRPr="008141ED">
        <w:rPr>
          <w:rFonts w:ascii="Times New Roman" w:eastAsia="仿宋" w:hAnsi="Times New Roman" w:cs="Times New Roman"/>
          <w:color w:val="000000"/>
          <w:sz w:val="21"/>
        </w:rPr>
        <w:fldChar w:fldCharType="end"/>
      </w:r>
      <w:bookmarkEnd w:id="12"/>
      <w:r w:rsidRPr="008141ED">
        <w:rPr>
          <w:rFonts w:ascii="Times New Roman" w:eastAsia="仿宋" w:hAnsi="Times New Roman" w:cs="Times New Roman"/>
          <w:color w:val="000000"/>
          <w:sz w:val="21"/>
        </w:rPr>
        <w:t xml:space="preserve"> </w:t>
      </w:r>
      <w:r w:rsidRPr="008141ED">
        <w:rPr>
          <w:rFonts w:ascii="Times New Roman" w:eastAsia="仿宋" w:hAnsi="Times New Roman" w:cs="Times New Roman"/>
          <w:color w:val="000000"/>
          <w:sz w:val="21"/>
        </w:rPr>
        <w:t>中子测井探测</w:t>
      </w:r>
      <w:proofErr w:type="gramStart"/>
      <w:r w:rsidRPr="008141ED">
        <w:rPr>
          <w:rFonts w:ascii="Times New Roman" w:eastAsia="仿宋" w:hAnsi="Times New Roman" w:cs="Times New Roman"/>
          <w:color w:val="000000"/>
          <w:sz w:val="21"/>
        </w:rPr>
        <w:t>限统计</w:t>
      </w:r>
      <w:proofErr w:type="gramEnd"/>
      <w:r w:rsidRPr="008141ED">
        <w:rPr>
          <w:rFonts w:ascii="Times New Roman" w:eastAsia="仿宋" w:hAnsi="Times New Roman" w:cs="Times New Roman"/>
          <w:color w:val="000000"/>
          <w:sz w:val="21"/>
        </w:rPr>
        <w:t>结果</w:t>
      </w:r>
      <w:r w:rsidRPr="008141ED">
        <w:rPr>
          <w:rFonts w:ascii="Times New Roman" w:eastAsia="仿宋" w:hAnsi="Times New Roman" w:cs="Times New Roman"/>
          <w:color w:val="000000"/>
          <w:sz w:val="21"/>
        </w:rPr>
        <w:t>2</w:t>
      </w:r>
    </w:p>
    <w:p w14:paraId="14B5E335" w14:textId="77777777" w:rsidR="00136F89" w:rsidRDefault="0090020D">
      <w:pPr>
        <w:spacing w:before="240" w:line="360" w:lineRule="auto"/>
        <w:rPr>
          <w:rFonts w:ascii="黑体" w:eastAsia="黑体" w:hAnsi="黑体"/>
          <w:kern w:val="0"/>
        </w:rPr>
      </w:pPr>
      <w:r>
        <w:rPr>
          <w:rFonts w:ascii="黑体" w:eastAsia="黑体" w:hAnsi="黑体" w:hint="eastAsia"/>
          <w:kern w:val="0"/>
        </w:rPr>
        <w:t>6.2 测井要求</w:t>
      </w:r>
    </w:p>
    <w:p w14:paraId="20DA1E48"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测井要求中，</w:t>
      </w:r>
      <w:proofErr w:type="gramStart"/>
      <w:r>
        <w:rPr>
          <w:rFonts w:ascii="Times New Roman" w:hAnsi="Times New Roman" w:cs="Times New Roman" w:hint="eastAsia"/>
        </w:rPr>
        <w:t>探管放至</w:t>
      </w:r>
      <w:proofErr w:type="gramEnd"/>
      <w:r>
        <w:rPr>
          <w:rFonts w:ascii="Times New Roman" w:hAnsi="Times New Roman" w:cs="Times New Roman" w:hint="eastAsia"/>
        </w:rPr>
        <w:t>井底后立即上提</w:t>
      </w:r>
      <w:r>
        <w:rPr>
          <w:rFonts w:ascii="Times New Roman" w:hAnsi="Times New Roman" w:cs="Times New Roman" w:hint="eastAsia"/>
        </w:rPr>
        <w:t>0.1~0.3m</w:t>
      </w:r>
      <w:r>
        <w:rPr>
          <w:rFonts w:ascii="Times New Roman" w:hAnsi="Times New Roman" w:cs="Times New Roman" w:hint="eastAsia"/>
        </w:rPr>
        <w:t>的要求是根据测井工作经验，避免井底尘沙、杂石等物质</w:t>
      </w:r>
      <w:proofErr w:type="gramStart"/>
      <w:r>
        <w:rPr>
          <w:rFonts w:ascii="Times New Roman" w:hAnsi="Times New Roman" w:cs="Times New Roman" w:hint="eastAsia"/>
        </w:rPr>
        <w:t>在探管静止</w:t>
      </w:r>
      <w:proofErr w:type="gramEnd"/>
      <w:r>
        <w:rPr>
          <w:rFonts w:ascii="Times New Roman" w:hAnsi="Times New Roman" w:cs="Times New Roman" w:hint="eastAsia"/>
        </w:rPr>
        <w:t>时掩埋探管，造成测井风险。</w:t>
      </w:r>
    </w:p>
    <w:p w14:paraId="246C71FC" w14:textId="77777777" w:rsidR="00136F89" w:rsidRDefault="0090020D">
      <w:pPr>
        <w:pStyle w:val="af6"/>
        <w:numPr>
          <w:ilvl w:val="0"/>
          <w:numId w:val="4"/>
        </w:numPr>
        <w:spacing w:before="240" w:after="240" w:line="360" w:lineRule="auto"/>
        <w:ind w:firstLineChars="0"/>
        <w:rPr>
          <w:rFonts w:ascii="黑体" w:eastAsia="黑体" w:hAnsi="黑体"/>
          <w:kern w:val="0"/>
        </w:rPr>
      </w:pPr>
      <w:r>
        <w:rPr>
          <w:rFonts w:ascii="黑体" w:eastAsia="黑体" w:hAnsi="黑体" w:hint="eastAsia"/>
          <w:kern w:val="0"/>
        </w:rPr>
        <w:lastRenderedPageBreak/>
        <w:t>数据处理与解释</w:t>
      </w:r>
    </w:p>
    <w:p w14:paraId="6F5D8538" w14:textId="77777777" w:rsidR="00136F89" w:rsidRDefault="0090020D">
      <w:pPr>
        <w:spacing w:before="240" w:line="360" w:lineRule="auto"/>
        <w:rPr>
          <w:rFonts w:ascii="黑体" w:eastAsia="黑体" w:hAnsi="黑体"/>
          <w:kern w:val="0"/>
        </w:rPr>
      </w:pPr>
      <w:r>
        <w:rPr>
          <w:rFonts w:ascii="黑体" w:eastAsia="黑体" w:hAnsi="黑体" w:hint="eastAsia"/>
          <w:kern w:val="0"/>
        </w:rPr>
        <w:t>7.1 中子通量修正</w:t>
      </w:r>
    </w:p>
    <w:p w14:paraId="71CCA9C8"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中子通量变化与中子发生器性能及中子管储氢量等因素有关，采纳</w:t>
      </w:r>
      <w:r>
        <w:rPr>
          <w:rFonts w:ascii="Times New Roman" w:hAnsi="Times New Roman" w:cs="Times New Roman" w:hint="eastAsia"/>
        </w:rPr>
        <w:t>JJG</w:t>
      </w:r>
      <w:r>
        <w:rPr>
          <w:rFonts w:ascii="Times New Roman" w:hAnsi="Times New Roman" w:cs="Times New Roman" w:hint="eastAsia"/>
        </w:rPr>
        <w:t>（军工）</w:t>
      </w:r>
      <w:r>
        <w:rPr>
          <w:rFonts w:ascii="Times New Roman" w:hAnsi="Times New Roman" w:cs="Times New Roman" w:hint="eastAsia"/>
        </w:rPr>
        <w:t>151-2017</w:t>
      </w:r>
      <w:r>
        <w:rPr>
          <w:rFonts w:ascii="Times New Roman" w:hAnsi="Times New Roman" w:cs="Times New Roman" w:hint="eastAsia"/>
        </w:rPr>
        <w:t>《裂变中子测井仪检定规程》提供的超热中子计数率修正方法</w:t>
      </w:r>
      <w:r>
        <w:rPr>
          <w:rFonts w:ascii="Times New Roman" w:hAnsi="Times New Roman" w:cs="Times New Roman" w:hint="eastAsia"/>
        </w:rPr>
        <w:t>A.1</w:t>
      </w:r>
      <w:r>
        <w:rPr>
          <w:rFonts w:ascii="Times New Roman" w:hAnsi="Times New Roman" w:cs="Times New Roman" w:hint="eastAsia"/>
        </w:rPr>
        <w:t>。</w:t>
      </w:r>
    </w:p>
    <w:p w14:paraId="539A41FC" w14:textId="77777777" w:rsidR="00136F89" w:rsidRDefault="0090020D">
      <w:pPr>
        <w:spacing w:before="240" w:line="360" w:lineRule="auto"/>
        <w:rPr>
          <w:rFonts w:ascii="黑体" w:eastAsia="黑体" w:hAnsi="黑体"/>
          <w:kern w:val="0"/>
        </w:rPr>
      </w:pPr>
      <w:r>
        <w:rPr>
          <w:rFonts w:ascii="黑体" w:eastAsia="黑体" w:hAnsi="黑体" w:hint="eastAsia"/>
          <w:kern w:val="0"/>
        </w:rPr>
        <w:t>7.2 中子寿命修正</w:t>
      </w:r>
    </w:p>
    <w:p w14:paraId="5FE242C7"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中子寿命变化与中子通量及地层中子宏观截面等因素有关，采纳</w:t>
      </w:r>
      <w:r>
        <w:rPr>
          <w:rFonts w:ascii="Times New Roman" w:hAnsi="Times New Roman" w:cs="Times New Roman" w:hint="eastAsia"/>
        </w:rPr>
        <w:t>JJG</w:t>
      </w:r>
      <w:r>
        <w:rPr>
          <w:rFonts w:ascii="Times New Roman" w:hAnsi="Times New Roman" w:cs="Times New Roman" w:hint="eastAsia"/>
        </w:rPr>
        <w:t>（军工）</w:t>
      </w:r>
      <w:r>
        <w:rPr>
          <w:rFonts w:ascii="Times New Roman" w:hAnsi="Times New Roman" w:cs="Times New Roman" w:hint="eastAsia"/>
        </w:rPr>
        <w:t>151-2017</w:t>
      </w:r>
      <w:r>
        <w:rPr>
          <w:rFonts w:ascii="Times New Roman" w:hAnsi="Times New Roman" w:cs="Times New Roman" w:hint="eastAsia"/>
        </w:rPr>
        <w:t>《裂变中子测井仪检定规程》提供的超热中子计数率修正方法</w:t>
      </w:r>
      <w:r>
        <w:rPr>
          <w:rFonts w:ascii="Times New Roman" w:hAnsi="Times New Roman" w:cs="Times New Roman" w:hint="eastAsia"/>
        </w:rPr>
        <w:t>A.1</w:t>
      </w:r>
      <w:r>
        <w:rPr>
          <w:rFonts w:ascii="Times New Roman" w:hAnsi="Times New Roman" w:cs="Times New Roman" w:hint="eastAsia"/>
        </w:rPr>
        <w:t>。</w:t>
      </w:r>
    </w:p>
    <w:p w14:paraId="0628AB28" w14:textId="77777777" w:rsidR="00136F89" w:rsidRDefault="0090020D">
      <w:pPr>
        <w:spacing w:before="240" w:line="360" w:lineRule="auto"/>
        <w:rPr>
          <w:rFonts w:ascii="黑体" w:eastAsia="黑体" w:hAnsi="黑体"/>
          <w:kern w:val="0"/>
        </w:rPr>
      </w:pPr>
      <w:r>
        <w:rPr>
          <w:rFonts w:ascii="黑体" w:eastAsia="黑体" w:hAnsi="黑体" w:hint="eastAsia"/>
          <w:kern w:val="0"/>
        </w:rPr>
        <w:t>7.3 井孔影响因素修正</w:t>
      </w:r>
    </w:p>
    <w:p w14:paraId="613ACF5B"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井孔影响因素修正</w:t>
      </w:r>
      <w:proofErr w:type="gramStart"/>
      <w:r>
        <w:rPr>
          <w:rFonts w:ascii="Times New Roman" w:hAnsi="Times New Roman" w:cs="Times New Roman" w:hint="eastAsia"/>
        </w:rPr>
        <w:t>系数与探管制</w:t>
      </w:r>
      <w:proofErr w:type="gramEnd"/>
      <w:r>
        <w:rPr>
          <w:rFonts w:ascii="Times New Roman" w:hAnsi="Times New Roman" w:cs="Times New Roman" w:hint="eastAsia"/>
        </w:rPr>
        <w:t>作材料及几何结构有关，不同型号中子测井仪因探管中的中子发生器与热中子探测器、超热中子探测器距离不同，</w:t>
      </w:r>
      <w:proofErr w:type="gramStart"/>
      <w:r>
        <w:rPr>
          <w:rFonts w:ascii="Times New Roman" w:hAnsi="Times New Roman" w:cs="Times New Roman" w:hint="eastAsia"/>
        </w:rPr>
        <w:t>使探管</w:t>
      </w:r>
      <w:proofErr w:type="gramEnd"/>
      <w:r>
        <w:rPr>
          <w:rFonts w:ascii="Times New Roman" w:hAnsi="Times New Roman" w:cs="Times New Roman" w:hint="eastAsia"/>
        </w:rPr>
        <w:t>外壳材料、结构等差异导致脉冲中子初始能量、发射方向差异，可能</w:t>
      </w:r>
      <w:proofErr w:type="gramStart"/>
      <w:r>
        <w:rPr>
          <w:rFonts w:ascii="Times New Roman" w:hAnsi="Times New Roman" w:cs="Times New Roman" w:hint="eastAsia"/>
        </w:rPr>
        <w:t>致使探管型号</w:t>
      </w:r>
      <w:proofErr w:type="gramEnd"/>
      <w:r>
        <w:rPr>
          <w:rFonts w:ascii="Times New Roman" w:hAnsi="Times New Roman" w:cs="Times New Roman" w:hint="eastAsia"/>
        </w:rPr>
        <w:t>或几何结构发生改变后，井孔影响因素修正参数发生变化。</w:t>
      </w:r>
    </w:p>
    <w:p w14:paraId="2831CE3F"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因此，不同型号或几何结构发生改变时，使用前需要采用测井参数模型开展井孔影响因素修正实验，确定该型号的井孔影响因素修正系数。当中子测井</w:t>
      </w:r>
      <w:proofErr w:type="gramStart"/>
      <w:r>
        <w:rPr>
          <w:rFonts w:ascii="Times New Roman" w:hAnsi="Times New Roman" w:cs="Times New Roman" w:hint="eastAsia"/>
        </w:rPr>
        <w:t>仪探管</w:t>
      </w:r>
      <w:proofErr w:type="gramEnd"/>
      <w:r>
        <w:rPr>
          <w:rFonts w:ascii="Times New Roman" w:hAnsi="Times New Roman" w:cs="Times New Roman" w:hint="eastAsia"/>
        </w:rPr>
        <w:t>型号或几何结构发生改变，应重新测定中子测井仪的井孔影响因素修正系数。</w:t>
      </w:r>
    </w:p>
    <w:p w14:paraId="19C207DA" w14:textId="77777777" w:rsidR="00136F89" w:rsidRDefault="0090020D">
      <w:pPr>
        <w:pStyle w:val="af6"/>
        <w:numPr>
          <w:ilvl w:val="0"/>
          <w:numId w:val="4"/>
        </w:numPr>
        <w:spacing w:before="240" w:after="240" w:line="360" w:lineRule="auto"/>
        <w:ind w:firstLineChars="0"/>
        <w:rPr>
          <w:rFonts w:ascii="黑体" w:eastAsia="黑体" w:hAnsi="黑体"/>
          <w:kern w:val="0"/>
        </w:rPr>
      </w:pPr>
      <w:r>
        <w:rPr>
          <w:rFonts w:ascii="黑体" w:eastAsia="黑体" w:hAnsi="黑体" w:hint="eastAsia"/>
          <w:kern w:val="0"/>
        </w:rPr>
        <w:t>质量要求</w:t>
      </w:r>
    </w:p>
    <w:p w14:paraId="43B3FC2E" w14:textId="77777777" w:rsidR="00136F89" w:rsidRDefault="0090020D">
      <w:pPr>
        <w:spacing w:before="240" w:line="360" w:lineRule="auto"/>
        <w:rPr>
          <w:rFonts w:ascii="黑体" w:eastAsia="黑体" w:hAnsi="黑体"/>
          <w:kern w:val="0"/>
        </w:rPr>
      </w:pPr>
      <w:r>
        <w:rPr>
          <w:rFonts w:ascii="黑体" w:eastAsia="黑体" w:hAnsi="黑体" w:hint="eastAsia"/>
          <w:kern w:val="0"/>
        </w:rPr>
        <w:t>8.1 重复测井</w:t>
      </w:r>
    </w:p>
    <w:p w14:paraId="6ADE3D36"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2025</w:t>
      </w:r>
      <w:r>
        <w:rPr>
          <w:rFonts w:ascii="Times New Roman" w:hAnsi="Times New Roman" w:cs="Times New Roman" w:hint="eastAsia"/>
        </w:rPr>
        <w:t>年</w:t>
      </w:r>
      <w:r>
        <w:rPr>
          <w:rFonts w:ascii="Times New Roman" w:hAnsi="Times New Roman" w:cs="Times New Roman" w:hint="eastAsia"/>
        </w:rPr>
        <w:t>3</w:t>
      </w:r>
      <w:r>
        <w:rPr>
          <w:rFonts w:ascii="Times New Roman" w:hAnsi="Times New Roman" w:cs="Times New Roman" w:hint="eastAsia"/>
        </w:rPr>
        <w:t>月至</w:t>
      </w:r>
      <w:r>
        <w:rPr>
          <w:rFonts w:ascii="Times New Roman" w:hAnsi="Times New Roman" w:cs="Times New Roman" w:hint="eastAsia"/>
        </w:rPr>
        <w:t>10</w:t>
      </w:r>
      <w:r>
        <w:rPr>
          <w:rFonts w:ascii="Times New Roman" w:hAnsi="Times New Roman" w:cs="Times New Roman" w:hint="eastAsia"/>
        </w:rPr>
        <w:t>月，根据重复测井评价方法，使用</w:t>
      </w:r>
      <w:r>
        <w:rPr>
          <w:rFonts w:ascii="Times New Roman" w:hAnsi="Times New Roman" w:cs="Times New Roman" w:hint="eastAsia"/>
        </w:rPr>
        <w:t>UNL4</w:t>
      </w:r>
      <w:r>
        <w:rPr>
          <w:rFonts w:ascii="Times New Roman" w:hAnsi="Times New Roman" w:cs="Times New Roman" w:hint="eastAsia"/>
        </w:rPr>
        <w:t>型中子测井仪（编号：</w:t>
      </w:r>
      <w:r>
        <w:rPr>
          <w:rFonts w:ascii="Times New Roman" w:hAnsi="Times New Roman" w:cs="Times New Roman" w:hint="eastAsia"/>
        </w:rPr>
        <w:t>2023-02</w:t>
      </w:r>
      <w:r>
        <w:rPr>
          <w:rFonts w:ascii="Times New Roman" w:hAnsi="Times New Roman" w:cs="Times New Roman" w:hint="eastAsia"/>
        </w:rPr>
        <w:t>）在甘肃新庄、镇原等地开展重复测井。对测井结果进行比较分析和统计，重复测井结果中符合判定条件的层位有</w:t>
      </w:r>
      <w:r>
        <w:rPr>
          <w:rFonts w:ascii="Times New Roman" w:hAnsi="Times New Roman" w:cs="Times New Roman" w:hint="eastAsia"/>
        </w:rPr>
        <w:t>27</w:t>
      </w:r>
      <w:r>
        <w:rPr>
          <w:rFonts w:ascii="Times New Roman" w:hAnsi="Times New Roman" w:cs="Times New Roman" w:hint="eastAsia"/>
        </w:rPr>
        <w:t>个，判定合格的层位为</w:t>
      </w:r>
      <w:r>
        <w:rPr>
          <w:rFonts w:ascii="Times New Roman" w:hAnsi="Times New Roman" w:cs="Times New Roman" w:hint="eastAsia"/>
        </w:rPr>
        <w:t>23</w:t>
      </w:r>
      <w:r>
        <w:rPr>
          <w:rFonts w:ascii="Times New Roman" w:hAnsi="Times New Roman" w:cs="Times New Roman" w:hint="eastAsia"/>
        </w:rPr>
        <w:t>个，合格率</w:t>
      </w:r>
      <w:r>
        <w:rPr>
          <w:rFonts w:ascii="Times New Roman" w:hAnsi="Times New Roman" w:cs="Times New Roman" w:hint="eastAsia"/>
        </w:rPr>
        <w:t>85.2%</w:t>
      </w:r>
      <w:r>
        <w:rPr>
          <w:rFonts w:ascii="Times New Roman" w:hAnsi="Times New Roman" w:cs="Times New Roman" w:hint="eastAsia"/>
        </w:rPr>
        <w:t>，优于</w:t>
      </w:r>
      <w:r>
        <w:rPr>
          <w:rFonts w:ascii="Times New Roman" w:hAnsi="Times New Roman" w:cs="Times New Roman" w:hint="eastAsia"/>
        </w:rPr>
        <w:t>80%</w:t>
      </w:r>
      <w:r>
        <w:rPr>
          <w:rFonts w:ascii="Times New Roman" w:hAnsi="Times New Roman" w:cs="Times New Roman" w:hint="eastAsia"/>
        </w:rPr>
        <w:t>的重复测井质量要求。</w:t>
      </w:r>
    </w:p>
    <w:p w14:paraId="6ADF2BEA" w14:textId="77777777" w:rsidR="00136F89" w:rsidRDefault="0090020D">
      <w:pPr>
        <w:spacing w:before="240" w:line="360" w:lineRule="auto"/>
        <w:rPr>
          <w:rFonts w:ascii="黑体" w:eastAsia="黑体" w:hAnsi="黑体"/>
          <w:kern w:val="0"/>
        </w:rPr>
      </w:pPr>
      <w:r>
        <w:rPr>
          <w:rFonts w:ascii="黑体" w:eastAsia="黑体" w:hAnsi="黑体" w:hint="eastAsia"/>
          <w:kern w:val="0"/>
        </w:rPr>
        <w:t>8.2 检查测井</w:t>
      </w:r>
    </w:p>
    <w:p w14:paraId="0EA48E0C"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2025</w:t>
      </w:r>
      <w:r>
        <w:rPr>
          <w:rFonts w:ascii="Times New Roman" w:hAnsi="Times New Roman" w:cs="Times New Roman" w:hint="eastAsia"/>
        </w:rPr>
        <w:t>年</w:t>
      </w:r>
      <w:r>
        <w:rPr>
          <w:rFonts w:ascii="Times New Roman" w:hAnsi="Times New Roman" w:cs="Times New Roman" w:hint="eastAsia"/>
        </w:rPr>
        <w:t>5</w:t>
      </w:r>
      <w:r>
        <w:rPr>
          <w:rFonts w:ascii="Times New Roman" w:hAnsi="Times New Roman" w:cs="Times New Roman" w:hint="eastAsia"/>
        </w:rPr>
        <w:t>月</w:t>
      </w:r>
      <w:r>
        <w:rPr>
          <w:rFonts w:ascii="Times New Roman" w:hAnsi="Times New Roman" w:cs="Times New Roman" w:hint="eastAsia"/>
        </w:rPr>
        <w:t>6</w:t>
      </w:r>
      <w:r>
        <w:rPr>
          <w:rFonts w:ascii="Times New Roman" w:hAnsi="Times New Roman" w:cs="Times New Roman" w:hint="eastAsia"/>
        </w:rPr>
        <w:t>日和</w:t>
      </w:r>
      <w:r>
        <w:rPr>
          <w:rFonts w:ascii="Times New Roman" w:hAnsi="Times New Roman" w:cs="Times New Roman" w:hint="eastAsia"/>
        </w:rPr>
        <w:t>6</w:t>
      </w:r>
      <w:r>
        <w:rPr>
          <w:rFonts w:ascii="Times New Roman" w:hAnsi="Times New Roman" w:cs="Times New Roman" w:hint="eastAsia"/>
        </w:rPr>
        <w:t>月</w:t>
      </w:r>
      <w:r>
        <w:rPr>
          <w:rFonts w:ascii="Times New Roman" w:hAnsi="Times New Roman" w:cs="Times New Roman" w:hint="eastAsia"/>
        </w:rPr>
        <w:t>5</w:t>
      </w:r>
      <w:r>
        <w:rPr>
          <w:rFonts w:ascii="Times New Roman" w:hAnsi="Times New Roman" w:cs="Times New Roman" w:hint="eastAsia"/>
        </w:rPr>
        <w:t>日，分别由</w:t>
      </w:r>
      <w:proofErr w:type="gramStart"/>
      <w:r>
        <w:rPr>
          <w:rFonts w:ascii="Times New Roman" w:hAnsi="Times New Roman" w:cs="Times New Roman" w:hint="eastAsia"/>
        </w:rPr>
        <w:t>沈长枫和</w:t>
      </w:r>
      <w:proofErr w:type="gramEnd"/>
      <w:r>
        <w:rPr>
          <w:rFonts w:ascii="Times New Roman" w:hAnsi="Times New Roman" w:cs="Times New Roman" w:hint="eastAsia"/>
        </w:rPr>
        <w:t>周晗使用</w:t>
      </w:r>
      <w:r>
        <w:rPr>
          <w:rFonts w:ascii="Times New Roman" w:hAnsi="Times New Roman" w:cs="Times New Roman" w:hint="eastAsia"/>
        </w:rPr>
        <w:t>UNL4</w:t>
      </w:r>
      <w:r>
        <w:rPr>
          <w:rFonts w:ascii="Times New Roman" w:hAnsi="Times New Roman" w:cs="Times New Roman" w:hint="eastAsia"/>
        </w:rPr>
        <w:t>型中子测井仪（编号：</w:t>
      </w:r>
      <w:r>
        <w:rPr>
          <w:rFonts w:ascii="Times New Roman" w:hAnsi="Times New Roman" w:cs="Times New Roman" w:hint="eastAsia"/>
        </w:rPr>
        <w:t>2023-02</w:t>
      </w:r>
      <w:r>
        <w:rPr>
          <w:rFonts w:ascii="Times New Roman" w:hAnsi="Times New Roman" w:cs="Times New Roman" w:hint="eastAsia"/>
        </w:rPr>
        <w:t>）对</w:t>
      </w:r>
      <w:r>
        <w:rPr>
          <w:rFonts w:ascii="Times New Roman" w:hAnsi="Times New Roman" w:cs="Times New Roman" w:hint="eastAsia"/>
        </w:rPr>
        <w:t>M-WT-6</w:t>
      </w:r>
      <w:r>
        <w:rPr>
          <w:rFonts w:ascii="Times New Roman" w:hAnsi="Times New Roman" w:cs="Times New Roman" w:hint="eastAsia"/>
        </w:rPr>
        <w:t>参数</w:t>
      </w:r>
      <w:proofErr w:type="gramStart"/>
      <w:r>
        <w:rPr>
          <w:rFonts w:ascii="Times New Roman" w:hAnsi="Times New Roman" w:cs="Times New Roman" w:hint="eastAsia"/>
        </w:rPr>
        <w:t>孔进行</w:t>
      </w:r>
      <w:proofErr w:type="gramEnd"/>
      <w:r>
        <w:rPr>
          <w:rFonts w:ascii="Times New Roman" w:hAnsi="Times New Roman" w:cs="Times New Roman" w:hint="eastAsia"/>
        </w:rPr>
        <w:t>测井。对测井结果进行比较分析和统计，检查测井结果中符合判定条件的层位有</w:t>
      </w:r>
      <w:r>
        <w:rPr>
          <w:rFonts w:ascii="Times New Roman" w:hAnsi="Times New Roman" w:cs="Times New Roman" w:hint="eastAsia"/>
        </w:rPr>
        <w:t>7</w:t>
      </w:r>
      <w:r>
        <w:rPr>
          <w:rFonts w:ascii="Times New Roman" w:hAnsi="Times New Roman" w:cs="Times New Roman" w:hint="eastAsia"/>
        </w:rPr>
        <w:t>个，判定合格的层位为</w:t>
      </w:r>
      <w:r>
        <w:rPr>
          <w:rFonts w:ascii="Times New Roman" w:hAnsi="Times New Roman" w:cs="Times New Roman" w:hint="eastAsia"/>
        </w:rPr>
        <w:t>7</w:t>
      </w:r>
      <w:r>
        <w:rPr>
          <w:rFonts w:ascii="Times New Roman" w:hAnsi="Times New Roman" w:cs="Times New Roman" w:hint="eastAsia"/>
        </w:rPr>
        <w:t>个，合格率</w:t>
      </w:r>
      <w:r>
        <w:rPr>
          <w:rFonts w:ascii="Times New Roman" w:hAnsi="Times New Roman" w:cs="Times New Roman" w:hint="eastAsia"/>
        </w:rPr>
        <w:t>100%</w:t>
      </w:r>
      <w:r>
        <w:rPr>
          <w:rFonts w:ascii="Times New Roman" w:hAnsi="Times New Roman" w:cs="Times New Roman" w:hint="eastAsia"/>
        </w:rPr>
        <w:t>，优于</w:t>
      </w:r>
      <w:r>
        <w:rPr>
          <w:rFonts w:ascii="Times New Roman" w:hAnsi="Times New Roman" w:cs="Times New Roman" w:hint="eastAsia"/>
        </w:rPr>
        <w:t>80%</w:t>
      </w:r>
      <w:r>
        <w:rPr>
          <w:rFonts w:ascii="Times New Roman" w:hAnsi="Times New Roman" w:cs="Times New Roman" w:hint="eastAsia"/>
        </w:rPr>
        <w:t>的检查测井质量要求。</w:t>
      </w:r>
    </w:p>
    <w:p w14:paraId="59EA1456" w14:textId="77777777" w:rsidR="00136F89" w:rsidRDefault="0090020D">
      <w:pPr>
        <w:pStyle w:val="af6"/>
        <w:numPr>
          <w:ilvl w:val="0"/>
          <w:numId w:val="4"/>
        </w:numPr>
        <w:spacing w:before="240" w:after="240" w:line="360" w:lineRule="auto"/>
        <w:ind w:firstLineChars="0"/>
        <w:rPr>
          <w:rFonts w:ascii="黑体" w:eastAsia="黑体" w:hAnsi="黑体"/>
          <w:kern w:val="0"/>
        </w:rPr>
      </w:pPr>
      <w:r>
        <w:rPr>
          <w:rFonts w:ascii="黑体" w:eastAsia="黑体" w:hAnsi="黑体" w:hint="eastAsia"/>
          <w:kern w:val="0"/>
        </w:rPr>
        <w:lastRenderedPageBreak/>
        <w:t>安全防护</w:t>
      </w:r>
    </w:p>
    <w:p w14:paraId="041B0701" w14:textId="77777777"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中子测井的基本要求、安全措施、放射性防护等内容符合《放射性物品运输安全管理条例》（国务院令第</w:t>
      </w:r>
      <w:r>
        <w:rPr>
          <w:rFonts w:ascii="Times New Roman" w:hAnsi="Times New Roman" w:cs="Times New Roman" w:hint="eastAsia"/>
        </w:rPr>
        <w:t>562</w:t>
      </w:r>
      <w:r>
        <w:rPr>
          <w:rFonts w:ascii="Times New Roman" w:hAnsi="Times New Roman" w:cs="Times New Roman" w:hint="eastAsia"/>
        </w:rPr>
        <w:t>号）、《电离辐射防护与辐射源安全基本标准》（</w:t>
      </w:r>
      <w:r>
        <w:rPr>
          <w:rFonts w:ascii="Times New Roman" w:hAnsi="Times New Roman" w:cs="Times New Roman" w:hint="eastAsia"/>
        </w:rPr>
        <w:t>GB 18871-2002</w:t>
      </w:r>
      <w:r>
        <w:rPr>
          <w:rFonts w:ascii="Times New Roman" w:hAnsi="Times New Roman" w:cs="Times New Roman" w:hint="eastAsia"/>
        </w:rPr>
        <w:t>）、《放射性物质安全运输规程》（</w:t>
      </w:r>
      <w:r>
        <w:rPr>
          <w:rFonts w:ascii="Times New Roman" w:hAnsi="Times New Roman" w:cs="Times New Roman" w:hint="eastAsia"/>
        </w:rPr>
        <w:t>GB 11806-2019</w:t>
      </w:r>
      <w:r>
        <w:rPr>
          <w:rFonts w:ascii="Times New Roman" w:hAnsi="Times New Roman" w:cs="Times New Roman" w:hint="eastAsia"/>
        </w:rPr>
        <w:t>）等相关法律法规和技术标准。</w:t>
      </w:r>
    </w:p>
    <w:p w14:paraId="1BE86A16" w14:textId="77777777" w:rsidR="00136F89" w:rsidRDefault="0090020D">
      <w:pPr>
        <w:numPr>
          <w:ilvl w:val="0"/>
          <w:numId w:val="1"/>
        </w:numPr>
        <w:spacing w:before="240" w:after="240" w:line="360" w:lineRule="auto"/>
        <w:rPr>
          <w:rFonts w:ascii="黑体" w:eastAsia="黑体" w:hAnsi="宋体"/>
          <w:sz w:val="28"/>
          <w:szCs w:val="28"/>
        </w:rPr>
      </w:pPr>
      <w:r>
        <w:rPr>
          <w:rFonts w:ascii="黑体" w:eastAsia="黑体" w:hAnsi="宋体" w:hint="eastAsia"/>
          <w:sz w:val="28"/>
          <w:szCs w:val="28"/>
        </w:rPr>
        <w:t>标准水平</w:t>
      </w:r>
      <w:r>
        <w:rPr>
          <w:rFonts w:ascii="黑体" w:eastAsia="黑体" w:hAnsi="宋体"/>
          <w:sz w:val="28"/>
          <w:szCs w:val="28"/>
        </w:rPr>
        <w:t>分析</w:t>
      </w:r>
    </w:p>
    <w:p w14:paraId="3E3A94BA" w14:textId="5D0B01F0" w:rsidR="00136F89" w:rsidRDefault="0090020D">
      <w:pPr>
        <w:spacing w:line="360" w:lineRule="auto"/>
        <w:ind w:firstLineChars="200" w:firstLine="480"/>
        <w:rPr>
          <w:rFonts w:ascii="Times New Roman" w:hAnsi="Times New Roman" w:cs="Times New Roman"/>
        </w:rPr>
      </w:pPr>
      <w:r>
        <w:rPr>
          <w:rFonts w:ascii="Times New Roman" w:hAnsi="Times New Roman" w:cs="Times New Roman" w:hint="eastAsia"/>
        </w:rPr>
        <w:t>目前，国内尚无专门针对铀裂变瞬发中子测井野外应用操作的国家或行业规范。本规范的制定填补了铀裂变中子测井领域规范的空白，对规范市场、保障测井质量、引导创新具有重要意义</w:t>
      </w:r>
      <w:r w:rsidR="004D1EFF">
        <w:rPr>
          <w:rFonts w:ascii="Times New Roman" w:hAnsi="Times New Roman" w:cs="Times New Roman" w:hint="eastAsia"/>
        </w:rPr>
        <w:t>。</w:t>
      </w:r>
    </w:p>
    <w:p w14:paraId="68686907" w14:textId="77777777" w:rsidR="00136F89" w:rsidRDefault="0090020D">
      <w:pPr>
        <w:numPr>
          <w:ilvl w:val="0"/>
          <w:numId w:val="1"/>
        </w:numPr>
        <w:spacing w:before="240" w:after="240" w:line="360" w:lineRule="auto"/>
        <w:rPr>
          <w:rFonts w:ascii="黑体" w:eastAsia="黑体" w:hAnsi="宋体"/>
          <w:sz w:val="28"/>
          <w:szCs w:val="28"/>
        </w:rPr>
      </w:pPr>
      <w:r>
        <w:rPr>
          <w:rFonts w:ascii="黑体" w:eastAsia="黑体" w:hAnsi="宋体" w:hint="eastAsia"/>
          <w:sz w:val="28"/>
          <w:szCs w:val="28"/>
        </w:rPr>
        <w:t>与有关</w:t>
      </w:r>
      <w:r>
        <w:rPr>
          <w:rFonts w:ascii="黑体" w:eastAsia="黑体" w:hAnsi="宋体"/>
          <w:sz w:val="28"/>
          <w:szCs w:val="28"/>
        </w:rPr>
        <w:t>的现行法律</w:t>
      </w:r>
      <w:r>
        <w:rPr>
          <w:rFonts w:ascii="黑体" w:eastAsia="黑体" w:hAnsi="宋体" w:hint="eastAsia"/>
          <w:sz w:val="28"/>
          <w:szCs w:val="28"/>
        </w:rPr>
        <w:t>、</w:t>
      </w:r>
      <w:r>
        <w:rPr>
          <w:rFonts w:ascii="黑体" w:eastAsia="黑体" w:hAnsi="宋体"/>
          <w:sz w:val="28"/>
          <w:szCs w:val="28"/>
        </w:rPr>
        <w:t>法规</w:t>
      </w:r>
      <w:r>
        <w:rPr>
          <w:rFonts w:ascii="黑体" w:eastAsia="黑体" w:hAnsi="宋体" w:hint="eastAsia"/>
          <w:sz w:val="28"/>
          <w:szCs w:val="28"/>
        </w:rPr>
        <w:t>和</w:t>
      </w:r>
      <w:r>
        <w:rPr>
          <w:rFonts w:ascii="黑体" w:eastAsia="黑体" w:hAnsi="宋体"/>
          <w:sz w:val="28"/>
          <w:szCs w:val="28"/>
        </w:rPr>
        <w:t>强制性国家标准的关系</w:t>
      </w:r>
    </w:p>
    <w:p w14:paraId="089219FF"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铀裂变瞬发中子测井属于放射性测井与铀矿勘探交叉领域，现行法规标准以辐射安全、铀矿测井、核材料管理三类为主，覆盖法律、行政法规、部门规章与技术标准。</w:t>
      </w:r>
    </w:p>
    <w:p w14:paraId="67FC070E"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（一）与法律、法规的关系</w:t>
      </w:r>
    </w:p>
    <w:p w14:paraId="4AA77F80"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 xml:space="preserve">1. </w:t>
      </w:r>
      <w:r w:rsidRPr="002C2A88">
        <w:rPr>
          <w:rFonts w:ascii="Times New Roman" w:hAnsi="Times New Roman" w:cs="Times New Roman"/>
        </w:rPr>
        <w:t>《中华人民共和国放射性污染防治法》适用于放射性测井活动的污染防治原则，放射源与核材料管理、辐射环境监测、事故应急的基本依据。</w:t>
      </w:r>
    </w:p>
    <w:p w14:paraId="16D31C0E"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 xml:space="preserve">2. </w:t>
      </w:r>
      <w:r w:rsidRPr="002C2A88">
        <w:rPr>
          <w:rFonts w:ascii="Times New Roman" w:hAnsi="Times New Roman" w:cs="Times New Roman"/>
        </w:rPr>
        <w:t>《中华人民共和国职业病防治法》适用于放射工作人员职业健康保护、防护措施、体检与培训要求。</w:t>
      </w:r>
    </w:p>
    <w:p w14:paraId="3BE814A9"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 xml:space="preserve">3. </w:t>
      </w:r>
      <w:r w:rsidRPr="002C2A88">
        <w:rPr>
          <w:rFonts w:ascii="Times New Roman" w:hAnsi="Times New Roman" w:cs="Times New Roman"/>
        </w:rPr>
        <w:t>《放射性同位素与射线装置安全和防护条例》</w:t>
      </w:r>
      <w:r w:rsidRPr="002C2A88">
        <w:rPr>
          <w:rFonts w:ascii="Times New Roman" w:hAnsi="Times New Roman" w:cs="Times New Roman"/>
        </w:rPr>
        <w:t>(</w:t>
      </w:r>
      <w:proofErr w:type="gramStart"/>
      <w:r w:rsidRPr="002C2A88">
        <w:rPr>
          <w:rFonts w:ascii="Times New Roman" w:hAnsi="Times New Roman" w:cs="Times New Roman"/>
        </w:rPr>
        <w:t>国务院令第</w:t>
      </w:r>
      <w:proofErr w:type="gramEnd"/>
      <w:r w:rsidRPr="002C2A88">
        <w:rPr>
          <w:rFonts w:ascii="Times New Roman" w:hAnsi="Times New Roman" w:cs="Times New Roman"/>
        </w:rPr>
        <w:t xml:space="preserve"> 449 </w:t>
      </w:r>
      <w:r w:rsidRPr="002C2A88">
        <w:rPr>
          <w:rFonts w:ascii="Times New Roman" w:hAnsi="Times New Roman" w:cs="Times New Roman"/>
        </w:rPr>
        <w:t>号</w:t>
      </w:r>
      <w:r w:rsidRPr="002C2A88">
        <w:rPr>
          <w:rFonts w:ascii="Times New Roman" w:hAnsi="Times New Roman" w:cs="Times New Roman"/>
        </w:rPr>
        <w:t>)</w:t>
      </w:r>
      <w:r w:rsidRPr="002C2A88">
        <w:rPr>
          <w:rFonts w:ascii="Times New Roman" w:hAnsi="Times New Roman" w:cs="Times New Roman"/>
        </w:rPr>
        <w:t>适用于中子发生器许可、贮存、运输、使用、应急的全流程监管，野外作业要求。</w:t>
      </w:r>
    </w:p>
    <w:p w14:paraId="516D6D7D"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 xml:space="preserve">4. </w:t>
      </w:r>
      <w:r w:rsidRPr="002C2A88">
        <w:rPr>
          <w:rFonts w:ascii="Times New Roman" w:hAnsi="Times New Roman" w:cs="Times New Roman"/>
        </w:rPr>
        <w:t>《放射性物品运输安全管理条例》（</w:t>
      </w:r>
      <w:proofErr w:type="gramStart"/>
      <w:r w:rsidRPr="002C2A88">
        <w:rPr>
          <w:rFonts w:ascii="Times New Roman" w:hAnsi="Times New Roman" w:cs="Times New Roman"/>
        </w:rPr>
        <w:t>国务院令第</w:t>
      </w:r>
      <w:proofErr w:type="gramEnd"/>
      <w:r w:rsidRPr="002C2A88">
        <w:rPr>
          <w:rFonts w:ascii="Times New Roman" w:hAnsi="Times New Roman" w:cs="Times New Roman"/>
        </w:rPr>
        <w:t xml:space="preserve"> 562 </w:t>
      </w:r>
      <w:r w:rsidRPr="002C2A88">
        <w:rPr>
          <w:rFonts w:ascii="Times New Roman" w:hAnsi="Times New Roman" w:cs="Times New Roman"/>
        </w:rPr>
        <w:t>号）适用于中子发生器的运输安全管理，覆盖运输容器设计制造、运输活动许可、运输过程监管、事故应急等。</w:t>
      </w:r>
    </w:p>
    <w:p w14:paraId="6E0E22EF"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 xml:space="preserve">5. </w:t>
      </w:r>
      <w:r w:rsidRPr="002C2A88">
        <w:rPr>
          <w:rFonts w:ascii="Times New Roman" w:hAnsi="Times New Roman" w:cs="Times New Roman"/>
        </w:rPr>
        <w:t>《放射性同位素与射线装置安全许可管理办法》</w:t>
      </w:r>
      <w:r w:rsidRPr="002C2A88">
        <w:rPr>
          <w:rFonts w:ascii="Times New Roman" w:hAnsi="Times New Roman" w:cs="Times New Roman"/>
        </w:rPr>
        <w:t>(</w:t>
      </w:r>
      <w:r w:rsidRPr="002C2A88">
        <w:rPr>
          <w:rFonts w:ascii="Times New Roman" w:hAnsi="Times New Roman" w:cs="Times New Roman"/>
        </w:rPr>
        <w:t>生态环境</w:t>
      </w:r>
      <w:proofErr w:type="gramStart"/>
      <w:r w:rsidRPr="002C2A88">
        <w:rPr>
          <w:rFonts w:ascii="Times New Roman" w:hAnsi="Times New Roman" w:cs="Times New Roman"/>
        </w:rPr>
        <w:t>部令第</w:t>
      </w:r>
      <w:proofErr w:type="gramEnd"/>
      <w:r w:rsidRPr="002C2A88">
        <w:rPr>
          <w:rFonts w:ascii="Times New Roman" w:hAnsi="Times New Roman" w:cs="Times New Roman"/>
        </w:rPr>
        <w:t xml:space="preserve"> 18 </w:t>
      </w:r>
      <w:r w:rsidRPr="002C2A88">
        <w:rPr>
          <w:rFonts w:ascii="Times New Roman" w:hAnsi="Times New Roman" w:cs="Times New Roman"/>
        </w:rPr>
        <w:t>号</w:t>
      </w:r>
      <w:r w:rsidRPr="002C2A88">
        <w:rPr>
          <w:rFonts w:ascii="Times New Roman" w:hAnsi="Times New Roman" w:cs="Times New Roman"/>
        </w:rPr>
        <w:t>)</w:t>
      </w:r>
      <w:r w:rsidRPr="002C2A88">
        <w:rPr>
          <w:rFonts w:ascii="Times New Roman" w:hAnsi="Times New Roman" w:cs="Times New Roman"/>
        </w:rPr>
        <w:t>适用于测井用中子发生器的许可申请、条件与程序。</w:t>
      </w:r>
    </w:p>
    <w:p w14:paraId="2F5F1274"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 xml:space="preserve">6. </w:t>
      </w:r>
      <w:r w:rsidRPr="002C2A88">
        <w:rPr>
          <w:rFonts w:ascii="Times New Roman" w:hAnsi="Times New Roman" w:cs="Times New Roman"/>
        </w:rPr>
        <w:t>《放射工作人员职业健康管理办法》适用于测井人员培训、健康监护、</w:t>
      </w:r>
      <w:r w:rsidRPr="002C2A88">
        <w:rPr>
          <w:rFonts w:ascii="Times New Roman" w:hAnsi="Times New Roman" w:cs="Times New Roman"/>
        </w:rPr>
        <w:lastRenderedPageBreak/>
        <w:t>个人剂量监测与档案管理。</w:t>
      </w:r>
    </w:p>
    <w:p w14:paraId="6D53A7B5" w14:textId="77777777" w:rsidR="00136F89" w:rsidRDefault="0090020D">
      <w:pPr>
        <w:spacing w:line="360" w:lineRule="auto"/>
        <w:ind w:firstLineChars="200" w:firstLine="480"/>
      </w:pPr>
      <w:r>
        <w:rPr>
          <w:rFonts w:hint="eastAsia"/>
        </w:rPr>
        <w:t>（二）与相关技术标准的关系</w:t>
      </w:r>
    </w:p>
    <w:p w14:paraId="3D55B41B"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 xml:space="preserve">1. GB 18871-2002 </w:t>
      </w:r>
      <w:r w:rsidRPr="002C2A88">
        <w:rPr>
          <w:rFonts w:ascii="Times New Roman" w:hAnsi="Times New Roman" w:cs="Times New Roman"/>
        </w:rPr>
        <w:t>《电离辐射防护与辐射源安全基本标准》是辐射防护的通用基础标准，规定剂量限值、防护原则与监测要求，本标准与之协调一致。</w:t>
      </w:r>
    </w:p>
    <w:p w14:paraId="1BEB3246"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 xml:space="preserve">2. GB 11806-2019 </w:t>
      </w:r>
      <w:r w:rsidRPr="002C2A88">
        <w:rPr>
          <w:rFonts w:ascii="Times New Roman" w:hAnsi="Times New Roman" w:cs="Times New Roman"/>
        </w:rPr>
        <w:t>《放射性物质安全运输规程》是放射性物质运输的包装、剂量控制、运输文件要求，本标准与之协调一致。</w:t>
      </w:r>
    </w:p>
    <w:p w14:paraId="28F45F54"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3. EJ/T 1162-2018</w:t>
      </w:r>
      <w:r w:rsidRPr="002C2A88">
        <w:rPr>
          <w:rFonts w:ascii="Times New Roman" w:hAnsi="Times New Roman" w:cs="Times New Roman"/>
        </w:rPr>
        <w:t>《地浸砂岩型铀矿地球物理测井规范》是地浸砂岩型铀矿地球物理测井的设计、仪器设备、测井准备、测井技术、原始资料质量评价、资料处理解释、资料提交及安全与防护的行业标准，部分适用于中子测井相关技术要求，本标准与之协调一致。</w:t>
      </w:r>
    </w:p>
    <w:p w14:paraId="41F9E053"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4. EJ/T 611-2005</w:t>
      </w:r>
      <w:r w:rsidRPr="002C2A88">
        <w:rPr>
          <w:rFonts w:ascii="Times New Roman" w:hAnsi="Times New Roman" w:cs="Times New Roman"/>
        </w:rPr>
        <w:t>《</w:t>
      </w:r>
      <w:r w:rsidRPr="002C2A88">
        <w:rPr>
          <w:rFonts w:ascii="Times New Roman" w:hAnsi="Times New Roman" w:cs="Times New Roman"/>
        </w:rPr>
        <w:t>γ</w:t>
      </w:r>
      <w:r w:rsidRPr="002C2A88">
        <w:rPr>
          <w:rFonts w:ascii="Times New Roman" w:hAnsi="Times New Roman" w:cs="Times New Roman"/>
        </w:rPr>
        <w:t>测井规范》是铀矿地质勘查的传统测井技术规范，与本规范并列，测井技术原理不同，测井方法部分相似，并协调一致。</w:t>
      </w:r>
    </w:p>
    <w:p w14:paraId="2A1F9C95"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5. EJ/T 20183-2018</w:t>
      </w:r>
      <w:r w:rsidRPr="002C2A88">
        <w:rPr>
          <w:rFonts w:ascii="Times New Roman" w:hAnsi="Times New Roman" w:cs="Times New Roman"/>
        </w:rPr>
        <w:t>《</w:t>
      </w:r>
      <w:r w:rsidRPr="002C2A88">
        <w:rPr>
          <w:rFonts w:ascii="Times New Roman" w:hAnsi="Times New Roman" w:cs="Times New Roman"/>
        </w:rPr>
        <w:t>γ</w:t>
      </w:r>
      <w:r w:rsidRPr="002C2A88">
        <w:rPr>
          <w:rFonts w:ascii="Times New Roman" w:hAnsi="Times New Roman" w:cs="Times New Roman"/>
        </w:rPr>
        <w:t>能谱测井规范》是铀矿地质勘查的传统测井规范，规定了测井设计、仪器及校准、野外工作及质量要求、安全措施等内容，与本规范并列，测井技术原理不同，测井方法部分相似，并协调一致。</w:t>
      </w:r>
    </w:p>
    <w:p w14:paraId="19C6BE19" w14:textId="77777777" w:rsidR="00136F89" w:rsidRPr="002C2A88" w:rsidRDefault="0090020D">
      <w:pPr>
        <w:spacing w:line="360" w:lineRule="auto"/>
        <w:ind w:firstLineChars="200" w:firstLine="480"/>
        <w:rPr>
          <w:rFonts w:ascii="Times New Roman" w:hAnsi="Times New Roman" w:cs="Times New Roman"/>
        </w:rPr>
      </w:pPr>
      <w:r w:rsidRPr="002C2A88">
        <w:rPr>
          <w:rFonts w:ascii="Times New Roman" w:hAnsi="Times New Roman" w:cs="Times New Roman"/>
        </w:rPr>
        <w:t>6. JJG</w:t>
      </w:r>
      <w:r w:rsidRPr="002C2A88">
        <w:rPr>
          <w:rFonts w:ascii="Times New Roman" w:hAnsi="Times New Roman" w:cs="Times New Roman"/>
        </w:rPr>
        <w:t>（军工）</w:t>
      </w:r>
      <w:r w:rsidRPr="002C2A88">
        <w:rPr>
          <w:rFonts w:ascii="Times New Roman" w:hAnsi="Times New Roman" w:cs="Times New Roman"/>
        </w:rPr>
        <w:t>151-2017</w:t>
      </w:r>
      <w:r w:rsidRPr="002C2A88">
        <w:rPr>
          <w:rFonts w:ascii="Times New Roman" w:hAnsi="Times New Roman" w:cs="Times New Roman"/>
        </w:rPr>
        <w:t>《裂变中子测井仪检定规程》是中子测井仪计量性能可靠、量值单位统一、测井结果准确的计量标准，是中子测井的技术基础，本标准与之协调一致。</w:t>
      </w:r>
    </w:p>
    <w:p w14:paraId="787780DF" w14:textId="77777777" w:rsidR="00136F89" w:rsidRDefault="0090020D">
      <w:pPr>
        <w:numPr>
          <w:ilvl w:val="0"/>
          <w:numId w:val="1"/>
        </w:numPr>
        <w:spacing w:before="240" w:after="240" w:line="360" w:lineRule="auto"/>
        <w:rPr>
          <w:rFonts w:ascii="黑体" w:eastAsia="黑体"/>
          <w:sz w:val="28"/>
          <w:szCs w:val="28"/>
        </w:rPr>
      </w:pPr>
      <w:r>
        <w:rPr>
          <w:rFonts w:ascii="黑体" w:eastAsia="黑体" w:hint="eastAsia"/>
          <w:sz w:val="28"/>
          <w:szCs w:val="28"/>
        </w:rPr>
        <w:t>重大分歧意见的处理经过和依据</w:t>
      </w:r>
    </w:p>
    <w:p w14:paraId="1B97E945" w14:textId="77777777" w:rsidR="00136F89" w:rsidRDefault="0090020D">
      <w:pPr>
        <w:spacing w:line="360" w:lineRule="auto"/>
        <w:ind w:firstLineChars="200" w:firstLine="480"/>
      </w:pPr>
      <w:r>
        <w:rPr>
          <w:rFonts w:hint="eastAsia"/>
        </w:rPr>
        <w:t>本标准起草过程中无重大分歧意见。</w:t>
      </w:r>
    </w:p>
    <w:p w14:paraId="2DDCB217" w14:textId="77777777" w:rsidR="00136F89" w:rsidRDefault="0090020D">
      <w:pPr>
        <w:numPr>
          <w:ilvl w:val="0"/>
          <w:numId w:val="1"/>
        </w:numPr>
        <w:spacing w:before="240" w:after="240" w:line="360" w:lineRule="auto"/>
        <w:rPr>
          <w:rFonts w:ascii="黑体" w:eastAsia="黑体"/>
          <w:sz w:val="28"/>
          <w:szCs w:val="28"/>
        </w:rPr>
      </w:pPr>
      <w:r>
        <w:rPr>
          <w:rFonts w:ascii="黑体" w:eastAsia="黑体" w:hint="eastAsia"/>
          <w:sz w:val="28"/>
          <w:szCs w:val="28"/>
        </w:rPr>
        <w:t>涉及专利的有关说明</w:t>
      </w:r>
    </w:p>
    <w:p w14:paraId="06A8F4C6" w14:textId="77777777" w:rsidR="00136F89" w:rsidRDefault="0090020D">
      <w:pPr>
        <w:spacing w:line="360" w:lineRule="auto"/>
        <w:ind w:firstLineChars="200" w:firstLine="480"/>
      </w:pPr>
      <w:r>
        <w:rPr>
          <w:rFonts w:hint="eastAsia"/>
        </w:rPr>
        <w:t>本规范编制工作组高度重视知识产权保护。在编制过程中，工作组已要求所有参与单位及个人，尽最大努力识别与本规范技术内容相关的已知专利。</w:t>
      </w:r>
    </w:p>
    <w:p w14:paraId="1AC3104C" w14:textId="77777777" w:rsidR="00136F89" w:rsidRDefault="0090020D">
      <w:pPr>
        <w:spacing w:line="360" w:lineRule="auto"/>
        <w:ind w:firstLineChars="200" w:firstLine="480"/>
      </w:pPr>
      <w:r>
        <w:rPr>
          <w:rFonts w:hint="eastAsia"/>
        </w:rPr>
        <w:t>任何参与编制工作的单位和个人，如知晓其自身或第三方拥有的专利（包括已授权专利和正在申请的专利）可能对本规范的实施构成必要性关联，均有义务向编制工作组进行书面披露。</w:t>
      </w:r>
    </w:p>
    <w:p w14:paraId="4854E835" w14:textId="77777777" w:rsidR="00136F89" w:rsidRDefault="0090020D">
      <w:pPr>
        <w:spacing w:line="360" w:lineRule="auto"/>
        <w:ind w:firstLineChars="200" w:firstLine="480"/>
      </w:pPr>
      <w:r>
        <w:rPr>
          <w:rFonts w:hint="eastAsia"/>
        </w:rPr>
        <w:t>本规范的发布机构及编制工作组，不对任何所本规范披露专利的有效性、范</w:t>
      </w:r>
      <w:r>
        <w:rPr>
          <w:rFonts w:hint="eastAsia"/>
        </w:rPr>
        <w:lastRenderedPageBreak/>
        <w:t>围及是否为“标准必要专利”进行鉴别和评价。专利许可事务由相关当事方自行协商解决。</w:t>
      </w:r>
    </w:p>
    <w:p w14:paraId="7C5D26B9" w14:textId="359656AE" w:rsidR="00136F89" w:rsidRDefault="0090020D">
      <w:pPr>
        <w:spacing w:line="360" w:lineRule="auto"/>
        <w:ind w:firstLineChars="200" w:firstLine="480"/>
      </w:pPr>
      <w:r>
        <w:rPr>
          <w:rFonts w:hint="eastAsia"/>
        </w:rPr>
        <w:t>任何希望实施本规范的个人或组织，应自行负责调查并处理可能涉及的专利许可事宜。对于已向工作组披露的专利权人，应自愿承诺愿意在公平、合理且无歧视的原则和条款下，与任何申请方协商其专利许可。</w:t>
      </w:r>
    </w:p>
    <w:p w14:paraId="1CA36F82" w14:textId="77777777" w:rsidR="00136F89" w:rsidRDefault="0090020D">
      <w:pPr>
        <w:numPr>
          <w:ilvl w:val="0"/>
          <w:numId w:val="1"/>
        </w:numPr>
        <w:spacing w:before="240" w:after="240" w:line="360" w:lineRule="auto"/>
        <w:rPr>
          <w:rFonts w:ascii="黑体" w:eastAsia="黑体"/>
          <w:sz w:val="28"/>
          <w:szCs w:val="28"/>
        </w:rPr>
      </w:pPr>
      <w:r>
        <w:rPr>
          <w:rFonts w:ascii="黑体" w:eastAsia="黑体" w:hint="eastAsia"/>
          <w:sz w:val="28"/>
          <w:szCs w:val="28"/>
        </w:rPr>
        <w:t>贯彻标准</w:t>
      </w:r>
      <w:r>
        <w:rPr>
          <w:rFonts w:ascii="黑体" w:eastAsia="黑体"/>
          <w:sz w:val="28"/>
          <w:szCs w:val="28"/>
        </w:rPr>
        <w:t>的要求和措施建议</w:t>
      </w:r>
    </w:p>
    <w:p w14:paraId="44F9A212" w14:textId="77777777" w:rsidR="00136F89" w:rsidRDefault="0090020D">
      <w:pPr>
        <w:spacing w:line="360" w:lineRule="auto"/>
        <w:ind w:firstLineChars="200" w:firstLine="480"/>
      </w:pPr>
      <w:r>
        <w:rPr>
          <w:rFonts w:hint="eastAsia"/>
        </w:rPr>
        <w:t>中国核工业地质局及其成员单位、中</w:t>
      </w:r>
      <w:proofErr w:type="gramStart"/>
      <w:r>
        <w:rPr>
          <w:rFonts w:hint="eastAsia"/>
        </w:rPr>
        <w:t>核铀业</w:t>
      </w:r>
      <w:proofErr w:type="gramEnd"/>
      <w:r>
        <w:rPr>
          <w:rFonts w:hint="eastAsia"/>
        </w:rPr>
        <w:t>有</w:t>
      </w:r>
      <w:r w:rsidRPr="00B97384">
        <w:rPr>
          <w:rFonts w:ascii="Times New Roman" w:hAnsi="Times New Roman" w:cs="Times New Roman"/>
        </w:rPr>
        <w:t>限责任公司及其成员单位、核工业航测遥感中心，东华理工大学，核工业北京地质研究院，国防科技工业</w:t>
      </w:r>
      <w:r w:rsidRPr="00B97384">
        <w:rPr>
          <w:rFonts w:ascii="Times New Roman" w:hAnsi="Times New Roman" w:cs="Times New Roman"/>
        </w:rPr>
        <w:t>1313</w:t>
      </w:r>
      <w:r w:rsidRPr="00B97384">
        <w:rPr>
          <w:rFonts w:ascii="Times New Roman" w:hAnsi="Times New Roman" w:cs="Times New Roman"/>
        </w:rPr>
        <w:t>区域计量站，河北航遥科技有限公司应执行本标准，中国核学会成员单位、中国核工业集团有限公司其他成员单位可参考使用本标准。</w:t>
      </w:r>
    </w:p>
    <w:p w14:paraId="37CB7032" w14:textId="77777777" w:rsidR="00136F89" w:rsidRDefault="0090020D">
      <w:pPr>
        <w:numPr>
          <w:ilvl w:val="0"/>
          <w:numId w:val="1"/>
        </w:numPr>
        <w:spacing w:before="240" w:after="240" w:line="360" w:lineRule="auto"/>
        <w:rPr>
          <w:rFonts w:ascii="黑体" w:eastAsia="黑体"/>
          <w:sz w:val="28"/>
          <w:szCs w:val="28"/>
        </w:rPr>
      </w:pPr>
      <w:r>
        <w:rPr>
          <w:rFonts w:ascii="黑体" w:eastAsia="黑体" w:hint="eastAsia"/>
          <w:sz w:val="28"/>
          <w:szCs w:val="28"/>
        </w:rPr>
        <w:t>废止</w:t>
      </w:r>
      <w:r>
        <w:rPr>
          <w:rFonts w:ascii="黑体" w:eastAsia="黑体"/>
          <w:sz w:val="28"/>
          <w:szCs w:val="28"/>
        </w:rPr>
        <w:t>现有有关标准的建议</w:t>
      </w:r>
    </w:p>
    <w:p w14:paraId="129BF7F9" w14:textId="77777777" w:rsidR="00136F89" w:rsidRDefault="0090020D">
      <w:pPr>
        <w:spacing w:line="360" w:lineRule="auto"/>
        <w:ind w:firstLineChars="200" w:firstLine="480"/>
      </w:pPr>
      <w:r>
        <w:rPr>
          <w:rFonts w:hint="eastAsia"/>
        </w:rPr>
        <w:t>无</w:t>
      </w:r>
    </w:p>
    <w:p w14:paraId="0484BBB7" w14:textId="77777777" w:rsidR="00136F89" w:rsidRDefault="0090020D">
      <w:pPr>
        <w:numPr>
          <w:ilvl w:val="0"/>
          <w:numId w:val="1"/>
        </w:numPr>
        <w:spacing w:before="240" w:after="240" w:line="360" w:lineRule="auto"/>
        <w:rPr>
          <w:rFonts w:ascii="黑体" w:eastAsia="黑体"/>
          <w:sz w:val="28"/>
          <w:szCs w:val="28"/>
        </w:rPr>
      </w:pPr>
      <w:r>
        <w:rPr>
          <w:rFonts w:ascii="黑体" w:eastAsia="黑体" w:hint="eastAsia"/>
          <w:sz w:val="28"/>
          <w:szCs w:val="28"/>
        </w:rPr>
        <w:t>预期效果</w:t>
      </w:r>
    </w:p>
    <w:p w14:paraId="73220E0E" w14:textId="77777777" w:rsidR="00136F89" w:rsidRDefault="0090020D">
      <w:pPr>
        <w:spacing w:line="360" w:lineRule="auto"/>
        <w:ind w:firstLineChars="200" w:firstLine="480"/>
      </w:pPr>
      <w:r>
        <w:rPr>
          <w:rFonts w:hint="eastAsia"/>
        </w:rPr>
        <w:t>铀裂变瞬发中子测井技术在砂岩型铀矿勘查采冶领域应用潜力极大，本规范的编制可减少铀裂变中子测井实际操作中的不确定性，保障测井质量，提高测井工作的效率，规范安全措施和设备要求。有利于保障铀裂变瞬发中子测井技术的先进性，同时为该项技术未来的发展留有一定空间，为铀裂变瞬发中子测井技术的规模化应用奠定坚实的基础，提高我国</w:t>
      </w:r>
      <w:proofErr w:type="gramStart"/>
      <w:r>
        <w:rPr>
          <w:rFonts w:hint="eastAsia"/>
        </w:rPr>
        <w:t>铀资源</w:t>
      </w:r>
      <w:proofErr w:type="gramEnd"/>
      <w:r>
        <w:rPr>
          <w:rFonts w:hint="eastAsia"/>
        </w:rPr>
        <w:t>勘查效率，保障国家战略安全。</w:t>
      </w:r>
    </w:p>
    <w:p w14:paraId="7C822039" w14:textId="77777777" w:rsidR="00136F89" w:rsidRDefault="0090020D">
      <w:pPr>
        <w:numPr>
          <w:ilvl w:val="0"/>
          <w:numId w:val="1"/>
        </w:numPr>
        <w:spacing w:before="240" w:after="240" w:line="360" w:lineRule="auto"/>
        <w:rPr>
          <w:rFonts w:ascii="黑体" w:eastAsia="黑体"/>
          <w:sz w:val="28"/>
          <w:szCs w:val="28"/>
        </w:rPr>
      </w:pPr>
      <w:r>
        <w:rPr>
          <w:rFonts w:ascii="黑体" w:eastAsia="黑体" w:hint="eastAsia"/>
          <w:sz w:val="28"/>
          <w:szCs w:val="28"/>
        </w:rPr>
        <w:t>参考资料</w:t>
      </w:r>
      <w:r>
        <w:rPr>
          <w:rFonts w:ascii="黑体" w:eastAsia="黑体"/>
          <w:sz w:val="28"/>
          <w:szCs w:val="28"/>
        </w:rPr>
        <w:t>清单</w:t>
      </w:r>
    </w:p>
    <w:p w14:paraId="271B35B3" w14:textId="77777777" w:rsidR="00136F89" w:rsidRPr="00B97384" w:rsidRDefault="0090020D">
      <w:pPr>
        <w:spacing w:line="360" w:lineRule="auto"/>
        <w:ind w:firstLineChars="200" w:firstLine="480"/>
        <w:rPr>
          <w:rFonts w:ascii="Times New Roman" w:hAnsi="Times New Roman" w:cs="Times New Roman"/>
        </w:rPr>
      </w:pPr>
      <w:r w:rsidRPr="00B97384">
        <w:rPr>
          <w:rFonts w:ascii="Times New Roman" w:hAnsi="Times New Roman" w:cs="Times New Roman"/>
        </w:rPr>
        <w:t xml:space="preserve">GB 11806-2019 </w:t>
      </w:r>
      <w:r w:rsidRPr="00B97384">
        <w:rPr>
          <w:rFonts w:ascii="Times New Roman" w:hAnsi="Times New Roman" w:cs="Times New Roman"/>
        </w:rPr>
        <w:t>《放射性物质安全运输规程》</w:t>
      </w:r>
    </w:p>
    <w:p w14:paraId="59E7EBC4" w14:textId="77777777" w:rsidR="00136F89" w:rsidRPr="00B97384" w:rsidRDefault="0090020D">
      <w:pPr>
        <w:spacing w:line="360" w:lineRule="auto"/>
        <w:ind w:firstLineChars="200" w:firstLine="480"/>
        <w:rPr>
          <w:rFonts w:ascii="Times New Roman" w:hAnsi="Times New Roman" w:cs="Times New Roman"/>
        </w:rPr>
      </w:pPr>
      <w:r w:rsidRPr="00B97384">
        <w:rPr>
          <w:rFonts w:ascii="Times New Roman" w:hAnsi="Times New Roman" w:cs="Times New Roman"/>
        </w:rPr>
        <w:t xml:space="preserve">GB 18871-2002 </w:t>
      </w:r>
      <w:r w:rsidRPr="00B97384">
        <w:rPr>
          <w:rFonts w:ascii="Times New Roman" w:hAnsi="Times New Roman" w:cs="Times New Roman"/>
        </w:rPr>
        <w:t>《电离辐射防护与辐射源安全基本标准》</w:t>
      </w:r>
    </w:p>
    <w:p w14:paraId="775F33FD" w14:textId="50C02E6B" w:rsidR="00755633" w:rsidRPr="00B97384" w:rsidRDefault="00755633">
      <w:pPr>
        <w:spacing w:line="360" w:lineRule="auto"/>
        <w:ind w:firstLine="480"/>
        <w:rPr>
          <w:rFonts w:ascii="Times New Roman" w:eastAsia="宋体" w:hAnsi="Times New Roman" w:cs="Times New Roman" w:hint="eastAsia"/>
        </w:rPr>
      </w:pPr>
      <w:r w:rsidRPr="00755633">
        <w:rPr>
          <w:rFonts w:ascii="Times New Roman" w:eastAsia="宋体" w:hAnsi="Times New Roman" w:cs="Times New Roman" w:hint="eastAsia"/>
        </w:rPr>
        <w:t>GB/T 1.1</w:t>
      </w:r>
      <w:r w:rsidRPr="00755633">
        <w:rPr>
          <w:rFonts w:ascii="Times New Roman" w:eastAsia="宋体" w:hAnsi="Times New Roman" w:cs="Times New Roman" w:hint="eastAsia"/>
        </w:rPr>
        <w:t>—</w:t>
      </w:r>
      <w:r w:rsidRPr="00755633">
        <w:rPr>
          <w:rFonts w:ascii="Times New Roman" w:eastAsia="宋体" w:hAnsi="Times New Roman" w:cs="Times New Roman" w:hint="eastAsia"/>
        </w:rPr>
        <w:t>2020</w:t>
      </w:r>
      <w:r>
        <w:rPr>
          <w:rFonts w:ascii="Times New Roman" w:eastAsia="宋体" w:hAnsi="Times New Roman" w:cs="Times New Roman" w:hint="eastAsia"/>
        </w:rPr>
        <w:t xml:space="preserve"> </w:t>
      </w:r>
      <w:r w:rsidRPr="00755633">
        <w:rPr>
          <w:rFonts w:ascii="Times New Roman" w:eastAsia="宋体" w:hAnsi="Times New Roman" w:cs="Times New Roman" w:hint="eastAsia"/>
        </w:rPr>
        <w:t>《标准化工作导则</w:t>
      </w:r>
      <w:r w:rsidRPr="00755633">
        <w:rPr>
          <w:rFonts w:ascii="Times New Roman" w:eastAsia="宋体" w:hAnsi="Times New Roman" w:cs="Times New Roman" w:hint="eastAsia"/>
        </w:rPr>
        <w:t xml:space="preserve"> </w:t>
      </w:r>
      <w:r w:rsidRPr="00755633">
        <w:rPr>
          <w:rFonts w:ascii="Times New Roman" w:eastAsia="宋体" w:hAnsi="Times New Roman" w:cs="Times New Roman" w:hint="eastAsia"/>
        </w:rPr>
        <w:t>第</w:t>
      </w:r>
      <w:r w:rsidRPr="00755633">
        <w:rPr>
          <w:rFonts w:ascii="Times New Roman" w:eastAsia="宋体" w:hAnsi="Times New Roman" w:cs="Times New Roman" w:hint="eastAsia"/>
        </w:rPr>
        <w:t>1</w:t>
      </w:r>
      <w:r w:rsidRPr="00755633">
        <w:rPr>
          <w:rFonts w:ascii="Times New Roman" w:eastAsia="宋体" w:hAnsi="Times New Roman" w:cs="Times New Roman" w:hint="eastAsia"/>
        </w:rPr>
        <w:t>部分：标准化文件的结构和起草规则》</w:t>
      </w:r>
    </w:p>
    <w:p w14:paraId="632B8B42" w14:textId="77777777" w:rsidR="00136F89" w:rsidRPr="00B97384" w:rsidRDefault="0090020D">
      <w:pPr>
        <w:spacing w:line="360" w:lineRule="auto"/>
        <w:ind w:firstLineChars="200" w:firstLine="480"/>
        <w:rPr>
          <w:rFonts w:ascii="Times New Roman" w:hAnsi="Times New Roman" w:cs="Times New Roman"/>
        </w:rPr>
      </w:pPr>
      <w:r w:rsidRPr="00B97384">
        <w:rPr>
          <w:rFonts w:ascii="Times New Roman" w:hAnsi="Times New Roman" w:cs="Times New Roman"/>
        </w:rPr>
        <w:t>JJG</w:t>
      </w:r>
      <w:r w:rsidRPr="00B97384">
        <w:rPr>
          <w:rFonts w:ascii="Times New Roman" w:hAnsi="Times New Roman" w:cs="Times New Roman"/>
        </w:rPr>
        <w:t>（军工）</w:t>
      </w:r>
      <w:r w:rsidRPr="00B97384">
        <w:rPr>
          <w:rFonts w:ascii="Times New Roman" w:hAnsi="Times New Roman" w:cs="Times New Roman"/>
        </w:rPr>
        <w:t xml:space="preserve">151-2017 </w:t>
      </w:r>
      <w:r w:rsidRPr="00B97384">
        <w:rPr>
          <w:rFonts w:ascii="Times New Roman" w:hAnsi="Times New Roman" w:cs="Times New Roman"/>
        </w:rPr>
        <w:t>《裂变中子测井仪检定规程》</w:t>
      </w:r>
    </w:p>
    <w:p w14:paraId="188A449C" w14:textId="77777777" w:rsidR="00136F89" w:rsidRPr="00B97384" w:rsidRDefault="0090020D">
      <w:pPr>
        <w:spacing w:line="360" w:lineRule="auto"/>
        <w:ind w:firstLineChars="200" w:firstLine="480"/>
        <w:rPr>
          <w:rFonts w:ascii="Times New Roman" w:hAnsi="Times New Roman" w:cs="Times New Roman"/>
        </w:rPr>
      </w:pPr>
      <w:r w:rsidRPr="00B97384">
        <w:rPr>
          <w:rFonts w:ascii="Times New Roman" w:hAnsi="Times New Roman" w:cs="Times New Roman"/>
        </w:rPr>
        <w:lastRenderedPageBreak/>
        <w:t>EJ/T 611-2005</w:t>
      </w:r>
      <w:r w:rsidRPr="00B97384">
        <w:rPr>
          <w:rFonts w:ascii="Times New Roman" w:hAnsi="Times New Roman" w:cs="Times New Roman"/>
        </w:rPr>
        <w:t>《</w:t>
      </w:r>
      <w:r w:rsidRPr="00B97384">
        <w:rPr>
          <w:rFonts w:ascii="Times New Roman" w:hAnsi="Times New Roman" w:cs="Times New Roman"/>
        </w:rPr>
        <w:t>γ</w:t>
      </w:r>
      <w:r w:rsidRPr="00B97384">
        <w:rPr>
          <w:rFonts w:ascii="Times New Roman" w:hAnsi="Times New Roman" w:cs="Times New Roman"/>
        </w:rPr>
        <w:t>测井规范》</w:t>
      </w:r>
    </w:p>
    <w:p w14:paraId="0B76E227" w14:textId="77777777" w:rsidR="00136F89" w:rsidRPr="00B97384" w:rsidRDefault="0090020D">
      <w:pPr>
        <w:spacing w:line="360" w:lineRule="auto"/>
        <w:ind w:firstLineChars="200" w:firstLine="480"/>
        <w:rPr>
          <w:rFonts w:ascii="Times New Roman" w:hAnsi="Times New Roman" w:cs="Times New Roman"/>
        </w:rPr>
      </w:pPr>
      <w:r w:rsidRPr="00B97384">
        <w:rPr>
          <w:rFonts w:ascii="Times New Roman" w:hAnsi="Times New Roman" w:cs="Times New Roman"/>
        </w:rPr>
        <w:t xml:space="preserve">EJ/T 1162-2018 </w:t>
      </w:r>
      <w:r w:rsidRPr="00B97384">
        <w:rPr>
          <w:rFonts w:ascii="Times New Roman" w:hAnsi="Times New Roman" w:cs="Times New Roman"/>
        </w:rPr>
        <w:t>《地浸砂岩型铀矿地球物理测井规范》</w:t>
      </w:r>
    </w:p>
    <w:p w14:paraId="6ACE9E99" w14:textId="77777777" w:rsidR="00136F89" w:rsidRPr="00B97384" w:rsidRDefault="0090020D">
      <w:pPr>
        <w:spacing w:line="360" w:lineRule="auto"/>
        <w:ind w:firstLineChars="200" w:firstLine="480"/>
        <w:rPr>
          <w:rFonts w:ascii="Times New Roman" w:hAnsi="Times New Roman" w:cs="Times New Roman"/>
        </w:rPr>
      </w:pPr>
      <w:r w:rsidRPr="00B97384">
        <w:rPr>
          <w:rFonts w:ascii="Times New Roman" w:hAnsi="Times New Roman" w:cs="Times New Roman"/>
        </w:rPr>
        <w:t xml:space="preserve">EJ/T 20183-2018 </w:t>
      </w:r>
      <w:r w:rsidRPr="00B97384">
        <w:rPr>
          <w:rFonts w:ascii="Times New Roman" w:hAnsi="Times New Roman" w:cs="Times New Roman"/>
        </w:rPr>
        <w:t>《</w:t>
      </w:r>
      <w:r w:rsidRPr="00B97384">
        <w:rPr>
          <w:rFonts w:ascii="Times New Roman" w:hAnsi="Times New Roman" w:cs="Times New Roman"/>
        </w:rPr>
        <w:t>γ</w:t>
      </w:r>
      <w:r w:rsidRPr="00B97384">
        <w:rPr>
          <w:rFonts w:ascii="Times New Roman" w:hAnsi="Times New Roman" w:cs="Times New Roman"/>
        </w:rPr>
        <w:t>能谱测井规范》</w:t>
      </w:r>
    </w:p>
    <w:p w14:paraId="13A748C6" w14:textId="77777777" w:rsidR="00136F89" w:rsidRPr="00B97384" w:rsidRDefault="0090020D">
      <w:pPr>
        <w:spacing w:line="360" w:lineRule="auto"/>
        <w:ind w:firstLine="480"/>
        <w:rPr>
          <w:rFonts w:ascii="Times New Roman" w:eastAsia="宋体" w:hAnsi="Times New Roman" w:cs="Times New Roman"/>
        </w:rPr>
      </w:pPr>
      <w:r w:rsidRPr="00B97384">
        <w:rPr>
          <w:rFonts w:ascii="Times New Roman" w:eastAsia="宋体" w:hAnsi="Times New Roman" w:cs="Times New Roman"/>
        </w:rPr>
        <w:t>管少斌，张积运，胡明考，等</w:t>
      </w:r>
      <w:r w:rsidRPr="00B97384">
        <w:rPr>
          <w:rFonts w:ascii="Times New Roman" w:eastAsia="宋体" w:hAnsi="Times New Roman" w:cs="Times New Roman"/>
        </w:rPr>
        <w:t xml:space="preserve">. </w:t>
      </w:r>
      <w:r w:rsidRPr="00B97384">
        <w:rPr>
          <w:rFonts w:ascii="Times New Roman" w:eastAsia="宋体" w:hAnsi="Times New Roman" w:cs="Times New Roman"/>
        </w:rPr>
        <w:t>瞬发裂变中子测井技术及应用研究成果报告</w:t>
      </w:r>
      <w:r w:rsidRPr="00B97384">
        <w:rPr>
          <w:rFonts w:ascii="Times New Roman" w:eastAsia="宋体" w:hAnsi="Times New Roman" w:cs="Times New Roman"/>
        </w:rPr>
        <w:t xml:space="preserve">(2013~2014)[R]. </w:t>
      </w:r>
      <w:r w:rsidRPr="00B97384">
        <w:rPr>
          <w:rFonts w:ascii="Times New Roman" w:eastAsia="宋体" w:hAnsi="Times New Roman" w:cs="Times New Roman"/>
        </w:rPr>
        <w:t>核工业航测遥感中心</w:t>
      </w:r>
      <w:r w:rsidRPr="00B97384">
        <w:rPr>
          <w:rFonts w:ascii="Times New Roman" w:eastAsia="宋体" w:hAnsi="Times New Roman" w:cs="Times New Roman"/>
        </w:rPr>
        <w:t>. 2014.12</w:t>
      </w:r>
    </w:p>
    <w:p w14:paraId="6A98ECC3" w14:textId="77777777" w:rsidR="00136F89" w:rsidRPr="00B97384" w:rsidRDefault="0090020D">
      <w:pPr>
        <w:spacing w:line="360" w:lineRule="auto"/>
        <w:ind w:firstLine="480"/>
        <w:rPr>
          <w:rFonts w:ascii="Times New Roman" w:eastAsia="宋体" w:hAnsi="Times New Roman" w:cs="Times New Roman"/>
        </w:rPr>
      </w:pPr>
      <w:r w:rsidRPr="00B97384">
        <w:rPr>
          <w:rFonts w:ascii="Times New Roman" w:eastAsia="宋体" w:hAnsi="Times New Roman" w:cs="Times New Roman"/>
        </w:rPr>
        <w:t>高国林，</w:t>
      </w:r>
      <w:proofErr w:type="gramStart"/>
      <w:r w:rsidRPr="00B97384">
        <w:rPr>
          <w:rFonts w:ascii="Times New Roman" w:eastAsia="宋体" w:hAnsi="Times New Roman" w:cs="Times New Roman"/>
        </w:rPr>
        <w:t>沈长枫</w:t>
      </w:r>
      <w:proofErr w:type="gramEnd"/>
      <w:r w:rsidRPr="00B97384">
        <w:rPr>
          <w:rFonts w:ascii="Times New Roman" w:eastAsia="宋体" w:hAnsi="Times New Roman" w:cs="Times New Roman"/>
        </w:rPr>
        <w:t>. n-γ</w:t>
      </w:r>
      <w:r w:rsidRPr="00B97384">
        <w:rPr>
          <w:rFonts w:ascii="Times New Roman" w:eastAsia="宋体" w:hAnsi="Times New Roman" w:cs="Times New Roman"/>
        </w:rPr>
        <w:t>融合测井仪影响因素实验报告（基于国产中子管）</w:t>
      </w:r>
      <w:r w:rsidRPr="00B97384">
        <w:rPr>
          <w:rFonts w:ascii="Times New Roman" w:eastAsia="宋体" w:hAnsi="Times New Roman" w:cs="Times New Roman"/>
        </w:rPr>
        <w:t>[R].</w:t>
      </w:r>
      <w:r w:rsidRPr="00B97384">
        <w:rPr>
          <w:rFonts w:ascii="Times New Roman" w:eastAsia="宋体" w:hAnsi="Times New Roman" w:cs="Times New Roman"/>
        </w:rPr>
        <w:t>核工业航测遥感中心</w:t>
      </w:r>
      <w:r w:rsidRPr="00B97384">
        <w:rPr>
          <w:rFonts w:ascii="Times New Roman" w:eastAsia="宋体" w:hAnsi="Times New Roman" w:cs="Times New Roman"/>
        </w:rPr>
        <w:t>. 2024.6</w:t>
      </w:r>
    </w:p>
    <w:p w14:paraId="07BFD8B9" w14:textId="77777777" w:rsidR="00136F89" w:rsidRPr="00B97384" w:rsidRDefault="0090020D">
      <w:pPr>
        <w:spacing w:line="360" w:lineRule="auto"/>
        <w:ind w:firstLine="480"/>
        <w:rPr>
          <w:rFonts w:ascii="Times New Roman" w:eastAsia="宋体" w:hAnsi="Times New Roman" w:cs="Times New Roman"/>
        </w:rPr>
      </w:pPr>
      <w:r w:rsidRPr="00B97384">
        <w:rPr>
          <w:rFonts w:ascii="Times New Roman" w:eastAsia="宋体" w:hAnsi="Times New Roman" w:cs="Times New Roman"/>
        </w:rPr>
        <w:t>高国林，沈长枫</w:t>
      </w:r>
      <w:r w:rsidRPr="00B97384">
        <w:rPr>
          <w:rFonts w:ascii="Times New Roman" w:eastAsia="宋体" w:hAnsi="Times New Roman" w:cs="Times New Roman"/>
        </w:rPr>
        <w:t>. n-γ</w:t>
      </w:r>
      <w:r w:rsidRPr="00B97384">
        <w:rPr>
          <w:rFonts w:ascii="Times New Roman" w:eastAsia="宋体" w:hAnsi="Times New Roman" w:cs="Times New Roman"/>
        </w:rPr>
        <w:t>融合测井仪野外应用试验报告</w:t>
      </w:r>
      <w:r w:rsidRPr="00B97384">
        <w:rPr>
          <w:rFonts w:ascii="Times New Roman" w:eastAsia="宋体" w:hAnsi="Times New Roman" w:cs="Times New Roman"/>
        </w:rPr>
        <w:t>[R].</w:t>
      </w:r>
      <w:r w:rsidRPr="00B97384">
        <w:rPr>
          <w:rFonts w:ascii="Times New Roman" w:eastAsia="宋体" w:hAnsi="Times New Roman" w:cs="Times New Roman"/>
        </w:rPr>
        <w:t>核工业航测遥感中心</w:t>
      </w:r>
      <w:r w:rsidRPr="00B97384">
        <w:rPr>
          <w:rFonts w:ascii="Times New Roman" w:eastAsia="宋体" w:hAnsi="Times New Roman" w:cs="Times New Roman"/>
        </w:rPr>
        <w:t>. 2024.11</w:t>
      </w:r>
    </w:p>
    <w:p w14:paraId="65E9E98D" w14:textId="77777777" w:rsidR="00136F89" w:rsidRDefault="0090020D">
      <w:pPr>
        <w:numPr>
          <w:ilvl w:val="0"/>
          <w:numId w:val="1"/>
        </w:numPr>
        <w:spacing w:before="240" w:after="240" w:line="360" w:lineRule="auto"/>
        <w:rPr>
          <w:rFonts w:ascii="黑体" w:eastAsia="黑体"/>
          <w:sz w:val="28"/>
          <w:szCs w:val="28"/>
        </w:rPr>
      </w:pPr>
      <w:r>
        <w:rPr>
          <w:rFonts w:ascii="黑体" w:eastAsia="黑体" w:hint="eastAsia"/>
          <w:sz w:val="28"/>
          <w:szCs w:val="28"/>
        </w:rPr>
        <w:t>其他</w:t>
      </w:r>
      <w:r>
        <w:rPr>
          <w:rFonts w:ascii="黑体" w:eastAsia="黑体"/>
          <w:sz w:val="28"/>
          <w:szCs w:val="28"/>
        </w:rPr>
        <w:t>应予说明的事项</w:t>
      </w:r>
    </w:p>
    <w:p w14:paraId="59B1B6D7" w14:textId="77777777" w:rsidR="00136F89" w:rsidRDefault="0090020D">
      <w:pPr>
        <w:spacing w:line="360" w:lineRule="auto"/>
        <w:ind w:firstLineChars="200" w:firstLine="480"/>
      </w:pPr>
      <w:r>
        <w:rPr>
          <w:rFonts w:hint="eastAsia"/>
        </w:rPr>
        <w:t>无</w:t>
      </w:r>
    </w:p>
    <w:sectPr w:rsidR="00136F89">
      <w:footerReference w:type="default" r:id="rId13"/>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1A3A3D" w14:textId="77777777" w:rsidR="00E90304" w:rsidRDefault="00E90304">
      <w:r>
        <w:separator/>
      </w:r>
    </w:p>
  </w:endnote>
  <w:endnote w:type="continuationSeparator" w:id="0">
    <w:p w14:paraId="0A2DB870" w14:textId="77777777" w:rsidR="00E90304" w:rsidRDefault="00E903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9429F" w14:textId="77777777" w:rsidR="00136F89" w:rsidRDefault="00136F89">
    <w:pPr>
      <w:pStyle w:val="aa"/>
      <w:jc w:val="center"/>
    </w:pPr>
  </w:p>
  <w:p w14:paraId="125D7AA6" w14:textId="77777777" w:rsidR="00136F89" w:rsidRDefault="00136F89">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0474950"/>
      <w:docPartObj>
        <w:docPartGallery w:val="AutoText"/>
      </w:docPartObj>
    </w:sdtPr>
    <w:sdtEndPr>
      <w:rPr>
        <w:rFonts w:asciiTheme="minorEastAsia" w:hAnsiTheme="minorEastAsia"/>
        <w:sz w:val="21"/>
        <w:szCs w:val="21"/>
      </w:rPr>
    </w:sdtEndPr>
    <w:sdtContent>
      <w:p w14:paraId="7EF7A863" w14:textId="77777777" w:rsidR="00136F89" w:rsidRDefault="0090020D">
        <w:pPr>
          <w:pStyle w:val="aa"/>
          <w:jc w:val="center"/>
          <w:rPr>
            <w:rFonts w:asciiTheme="minorEastAsia" w:hAnsiTheme="minorEastAsia"/>
            <w:sz w:val="21"/>
            <w:szCs w:val="21"/>
          </w:rPr>
        </w:pPr>
        <w:r>
          <w:rPr>
            <w:rFonts w:asciiTheme="minorEastAsia" w:hAnsiTheme="minorEastAsia"/>
            <w:sz w:val="21"/>
            <w:szCs w:val="21"/>
          </w:rPr>
          <w:fldChar w:fldCharType="begin"/>
        </w:r>
        <w:r>
          <w:rPr>
            <w:rFonts w:asciiTheme="minorEastAsia" w:hAnsiTheme="minorEastAsia"/>
            <w:sz w:val="21"/>
            <w:szCs w:val="21"/>
          </w:rPr>
          <w:instrText>PAGE   \* MERGEFORMAT</w:instrText>
        </w:r>
        <w:r>
          <w:rPr>
            <w:rFonts w:asciiTheme="minorEastAsia" w:hAnsiTheme="minorEastAsia"/>
            <w:sz w:val="21"/>
            <w:szCs w:val="21"/>
          </w:rPr>
          <w:fldChar w:fldCharType="separate"/>
        </w:r>
        <w:r w:rsidR="00E144EA" w:rsidRPr="00E144EA">
          <w:rPr>
            <w:rFonts w:asciiTheme="minorEastAsia" w:hAnsiTheme="minorEastAsia"/>
            <w:noProof/>
            <w:sz w:val="21"/>
            <w:szCs w:val="21"/>
            <w:lang w:val="zh-CN"/>
          </w:rPr>
          <w:t>1</w:t>
        </w:r>
        <w:r>
          <w:rPr>
            <w:rFonts w:asciiTheme="minorEastAsia" w:hAnsiTheme="minorEastAsia"/>
            <w:sz w:val="21"/>
            <w:szCs w:val="21"/>
          </w:rPr>
          <w:fldChar w:fldCharType="end"/>
        </w:r>
      </w:p>
    </w:sdtContent>
  </w:sdt>
  <w:p w14:paraId="7E03D7F2" w14:textId="77777777" w:rsidR="00136F89" w:rsidRDefault="00136F89">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F5FC0" w14:textId="77777777" w:rsidR="00E90304" w:rsidRDefault="00E90304">
      <w:r>
        <w:separator/>
      </w:r>
    </w:p>
  </w:footnote>
  <w:footnote w:type="continuationSeparator" w:id="0">
    <w:p w14:paraId="0C081243" w14:textId="77777777" w:rsidR="00E90304" w:rsidRDefault="00E903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9EEE486"/>
    <w:multiLevelType w:val="multilevel"/>
    <w:tmpl w:val="A9EEE48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2D4E3D38"/>
    <w:multiLevelType w:val="multilevel"/>
    <w:tmpl w:val="2D4E3D38"/>
    <w:lvl w:ilvl="0">
      <w:start w:val="1"/>
      <w:numFmt w:val="japaneseCounting"/>
      <w:lvlText w:val="%1、"/>
      <w:lvlJc w:val="left"/>
      <w:pPr>
        <w:tabs>
          <w:tab w:val="left" w:pos="720"/>
        </w:tabs>
        <w:ind w:left="720" w:hanging="720"/>
      </w:pPr>
      <w:rPr>
        <w:rFonts w:hint="default"/>
      </w:rPr>
    </w:lvl>
    <w:lvl w:ilvl="1">
      <w:start w:val="1"/>
      <w:numFmt w:val="decimal"/>
      <w:lvlText w:val="%2."/>
      <w:lvlJc w:val="left"/>
      <w:pPr>
        <w:tabs>
          <w:tab w:val="left" w:pos="840"/>
        </w:tabs>
        <w:ind w:left="840" w:hanging="42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33480C12"/>
    <w:multiLevelType w:val="multilevel"/>
    <w:tmpl w:val="33480C1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4138386E"/>
    <w:multiLevelType w:val="multilevel"/>
    <w:tmpl w:val="4138386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115490265">
    <w:abstractNumId w:val="1"/>
  </w:num>
  <w:num w:numId="2" w16cid:durableId="430123366">
    <w:abstractNumId w:val="2"/>
  </w:num>
  <w:num w:numId="3" w16cid:durableId="1758675032">
    <w:abstractNumId w:val="3"/>
  </w:num>
  <w:num w:numId="4" w16cid:durableId="4576447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36F89"/>
    <w:rsid w:val="00136F89"/>
    <w:rsid w:val="00175B8B"/>
    <w:rsid w:val="001D3CB9"/>
    <w:rsid w:val="001E4F52"/>
    <w:rsid w:val="00203D87"/>
    <w:rsid w:val="00255322"/>
    <w:rsid w:val="002C2A88"/>
    <w:rsid w:val="003205C3"/>
    <w:rsid w:val="003A6527"/>
    <w:rsid w:val="004A5B9E"/>
    <w:rsid w:val="004D1EFF"/>
    <w:rsid w:val="006B77E0"/>
    <w:rsid w:val="007154F8"/>
    <w:rsid w:val="00755633"/>
    <w:rsid w:val="007A2828"/>
    <w:rsid w:val="007F74CC"/>
    <w:rsid w:val="008141ED"/>
    <w:rsid w:val="0090020D"/>
    <w:rsid w:val="00A80D47"/>
    <w:rsid w:val="00AE1778"/>
    <w:rsid w:val="00B97384"/>
    <w:rsid w:val="00C22449"/>
    <w:rsid w:val="00CF1886"/>
    <w:rsid w:val="00D528C4"/>
    <w:rsid w:val="00DD476C"/>
    <w:rsid w:val="00DD78E4"/>
    <w:rsid w:val="00E144EA"/>
    <w:rsid w:val="00E822FF"/>
    <w:rsid w:val="00E90304"/>
    <w:rsid w:val="0B1D50BA"/>
    <w:rsid w:val="1BE21A08"/>
    <w:rsid w:val="460B01A4"/>
    <w:rsid w:val="77EF17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F86EF16"/>
  <w15:docId w15:val="{CF3C53B7-68D4-497D-9DBB-16212C4292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4"/>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semiHidden/>
    <w:unhideWhenUsed/>
    <w:qFormat/>
    <w:rPr>
      <w:rFonts w:ascii="Arial" w:eastAsia="黑体" w:hAnsi="Arial"/>
      <w:sz w:val="20"/>
    </w:rPr>
  </w:style>
  <w:style w:type="paragraph" w:styleId="a4">
    <w:name w:val="annotation text"/>
    <w:basedOn w:val="a"/>
    <w:link w:val="a5"/>
    <w:uiPriority w:val="99"/>
    <w:semiHidden/>
    <w:unhideWhenUsed/>
    <w:pPr>
      <w:jc w:val="left"/>
    </w:pPr>
  </w:style>
  <w:style w:type="paragraph" w:styleId="a6">
    <w:name w:val="Body Text"/>
    <w:basedOn w:val="a"/>
    <w:link w:val="a7"/>
    <w:uiPriority w:val="1"/>
    <w:qFormat/>
    <w:pPr>
      <w:autoSpaceDE w:val="0"/>
      <w:autoSpaceDN w:val="0"/>
      <w:jc w:val="left"/>
    </w:pPr>
    <w:rPr>
      <w:rFonts w:ascii="宋体" w:eastAsia="宋体" w:hAnsi="宋体" w:cs="宋体"/>
      <w:kern w:val="0"/>
      <w:sz w:val="32"/>
      <w:szCs w:val="32"/>
      <w:lang w:eastAsia="en-US"/>
    </w:rPr>
  </w:style>
  <w:style w:type="paragraph" w:styleId="a8">
    <w:name w:val="Balloon Text"/>
    <w:basedOn w:val="a"/>
    <w:link w:val="a9"/>
    <w:uiPriority w:val="99"/>
    <w:semiHidden/>
    <w:unhideWhenUsed/>
    <w:rPr>
      <w:sz w:val="18"/>
      <w:szCs w:val="18"/>
    </w:rPr>
  </w:style>
  <w:style w:type="paragraph" w:styleId="aa">
    <w:name w:val="footer"/>
    <w:basedOn w:val="a"/>
    <w:link w:val="ab"/>
    <w:uiPriority w:val="99"/>
    <w:unhideWhenUsed/>
    <w:qFormat/>
    <w:pPr>
      <w:tabs>
        <w:tab w:val="center" w:pos="4153"/>
        <w:tab w:val="right" w:pos="8306"/>
      </w:tabs>
      <w:snapToGrid w:val="0"/>
      <w:jc w:val="left"/>
    </w:pPr>
    <w:rPr>
      <w:sz w:val="18"/>
      <w:szCs w:val="18"/>
    </w:rPr>
  </w:style>
  <w:style w:type="paragraph" w:styleId="ac">
    <w:name w:val="header"/>
    <w:basedOn w:val="a"/>
    <w:link w:val="ad"/>
    <w:uiPriority w:val="99"/>
    <w:unhideWhenUsed/>
    <w:qFormat/>
    <w:pPr>
      <w:pBdr>
        <w:bottom w:val="single" w:sz="6" w:space="1" w:color="auto"/>
      </w:pBdr>
      <w:tabs>
        <w:tab w:val="center" w:pos="4153"/>
        <w:tab w:val="right" w:pos="8306"/>
      </w:tabs>
      <w:snapToGrid w:val="0"/>
      <w:jc w:val="center"/>
    </w:pPr>
    <w:rPr>
      <w:sz w:val="18"/>
      <w:szCs w:val="18"/>
    </w:rPr>
  </w:style>
  <w:style w:type="paragraph" w:styleId="ae">
    <w:name w:val="footnote text"/>
    <w:basedOn w:val="a"/>
    <w:link w:val="af"/>
    <w:uiPriority w:val="99"/>
    <w:semiHidden/>
    <w:unhideWhenUsed/>
    <w:pPr>
      <w:snapToGrid w:val="0"/>
      <w:jc w:val="left"/>
    </w:pPr>
    <w:rPr>
      <w:sz w:val="18"/>
      <w:szCs w:val="18"/>
    </w:rPr>
  </w:style>
  <w:style w:type="paragraph" w:styleId="af0">
    <w:name w:val="Title"/>
    <w:basedOn w:val="a"/>
    <w:next w:val="a"/>
    <w:link w:val="af1"/>
    <w:uiPriority w:val="10"/>
    <w:qFormat/>
    <w:pPr>
      <w:spacing w:before="240" w:after="60"/>
      <w:jc w:val="center"/>
      <w:outlineLvl w:val="0"/>
    </w:pPr>
    <w:rPr>
      <w:rFonts w:asciiTheme="majorHAnsi" w:eastAsia="宋体" w:hAnsiTheme="majorHAnsi" w:cstheme="majorBidi"/>
      <w:b/>
      <w:bCs/>
      <w:sz w:val="32"/>
      <w:szCs w:val="32"/>
    </w:rPr>
  </w:style>
  <w:style w:type="table" w:styleId="af2">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page number"/>
    <w:basedOn w:val="a0"/>
    <w:uiPriority w:val="99"/>
    <w:qFormat/>
  </w:style>
  <w:style w:type="character" w:styleId="af4">
    <w:name w:val="annotation reference"/>
    <w:basedOn w:val="a0"/>
    <w:uiPriority w:val="99"/>
    <w:semiHidden/>
    <w:unhideWhenUsed/>
    <w:rPr>
      <w:sz w:val="21"/>
      <w:szCs w:val="21"/>
    </w:rPr>
  </w:style>
  <w:style w:type="character" w:styleId="af5">
    <w:name w:val="footnote reference"/>
    <w:basedOn w:val="a0"/>
    <w:uiPriority w:val="99"/>
    <w:semiHidden/>
    <w:unhideWhenUsed/>
    <w:rPr>
      <w:vertAlign w:val="superscript"/>
    </w:rPr>
  </w:style>
  <w:style w:type="character" w:customStyle="1" w:styleId="ad">
    <w:name w:val="页眉 字符"/>
    <w:basedOn w:val="a0"/>
    <w:link w:val="ac"/>
    <w:uiPriority w:val="99"/>
    <w:qFormat/>
    <w:rPr>
      <w:sz w:val="18"/>
      <w:szCs w:val="18"/>
    </w:rPr>
  </w:style>
  <w:style w:type="character" w:customStyle="1" w:styleId="ab">
    <w:name w:val="页脚 字符"/>
    <w:basedOn w:val="a0"/>
    <w:link w:val="aa"/>
    <w:uiPriority w:val="99"/>
    <w:qFormat/>
    <w:rPr>
      <w:sz w:val="18"/>
      <w:szCs w:val="18"/>
    </w:rPr>
  </w:style>
  <w:style w:type="paragraph" w:styleId="af6">
    <w:name w:val="List Paragraph"/>
    <w:basedOn w:val="a"/>
    <w:uiPriority w:val="34"/>
    <w:qFormat/>
    <w:pPr>
      <w:ind w:firstLineChars="200" w:firstLine="420"/>
    </w:pPr>
  </w:style>
  <w:style w:type="character" w:customStyle="1" w:styleId="10">
    <w:name w:val="标题 1 字符"/>
    <w:basedOn w:val="a0"/>
    <w:link w:val="1"/>
    <w:uiPriority w:val="9"/>
    <w:qFormat/>
    <w:rPr>
      <w:b/>
      <w:bCs/>
      <w:kern w:val="44"/>
      <w:sz w:val="44"/>
      <w:szCs w:val="44"/>
    </w:r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30">
    <w:name w:val="标题 3 字符"/>
    <w:basedOn w:val="a0"/>
    <w:link w:val="3"/>
    <w:uiPriority w:val="9"/>
    <w:qFormat/>
    <w:rPr>
      <w:b/>
      <w:bCs/>
      <w:sz w:val="32"/>
      <w:szCs w:val="32"/>
    </w:rPr>
  </w:style>
  <w:style w:type="paragraph" w:customStyle="1" w:styleId="af7">
    <w:name w:val="段"/>
    <w:link w:val="Char"/>
    <w:uiPriority w:val="99"/>
    <w:qFormat/>
    <w:pPr>
      <w:tabs>
        <w:tab w:val="center" w:pos="4201"/>
        <w:tab w:val="right" w:leader="dot" w:pos="9298"/>
      </w:tabs>
      <w:autoSpaceDE w:val="0"/>
      <w:autoSpaceDN w:val="0"/>
      <w:ind w:firstLineChars="200" w:firstLine="420"/>
      <w:jc w:val="both"/>
    </w:pPr>
    <w:rPr>
      <w:rFonts w:ascii="宋体" w:eastAsia="宋体" w:hAnsi="Times New Roman" w:cs="宋体"/>
      <w:sz w:val="21"/>
      <w:szCs w:val="21"/>
    </w:rPr>
  </w:style>
  <w:style w:type="character" w:customStyle="1" w:styleId="Char">
    <w:name w:val="段 Char"/>
    <w:basedOn w:val="a0"/>
    <w:link w:val="af7"/>
    <w:uiPriority w:val="99"/>
    <w:locked/>
    <w:rPr>
      <w:rFonts w:ascii="宋体" w:eastAsia="宋体" w:hAnsi="Times New Roman" w:cs="宋体"/>
      <w:kern w:val="0"/>
      <w:szCs w:val="21"/>
    </w:rPr>
  </w:style>
  <w:style w:type="paragraph" w:customStyle="1" w:styleId="CM49">
    <w:name w:val="CM49"/>
    <w:basedOn w:val="a"/>
    <w:next w:val="a"/>
    <w:pPr>
      <w:autoSpaceDE w:val="0"/>
      <w:autoSpaceDN w:val="0"/>
      <w:adjustRightInd w:val="0"/>
      <w:spacing w:after="305"/>
      <w:jc w:val="left"/>
    </w:pPr>
    <w:rPr>
      <w:rFonts w:ascii="宋体" w:eastAsia="宋体" w:hAnsi="Times New Roman" w:cs="宋体"/>
      <w:kern w:val="0"/>
      <w:szCs w:val="24"/>
    </w:rPr>
  </w:style>
  <w:style w:type="character" w:customStyle="1" w:styleId="a9">
    <w:name w:val="批注框文本 字符"/>
    <w:basedOn w:val="a0"/>
    <w:link w:val="a8"/>
    <w:uiPriority w:val="99"/>
    <w:semiHidden/>
    <w:rPr>
      <w:sz w:val="18"/>
      <w:szCs w:val="18"/>
    </w:rPr>
  </w:style>
  <w:style w:type="character" w:customStyle="1" w:styleId="af">
    <w:name w:val="脚注文本 字符"/>
    <w:basedOn w:val="a0"/>
    <w:link w:val="ae"/>
    <w:uiPriority w:val="99"/>
    <w:semiHidden/>
    <w:qFormat/>
    <w:rPr>
      <w:sz w:val="18"/>
      <w:szCs w:val="18"/>
    </w:rPr>
  </w:style>
  <w:style w:type="character" w:customStyle="1" w:styleId="a5">
    <w:name w:val="批注文字 字符"/>
    <w:basedOn w:val="a0"/>
    <w:link w:val="a4"/>
    <w:uiPriority w:val="99"/>
    <w:semiHidden/>
  </w:style>
  <w:style w:type="character" w:customStyle="1" w:styleId="af1">
    <w:name w:val="标题 字符"/>
    <w:basedOn w:val="a0"/>
    <w:link w:val="af0"/>
    <w:uiPriority w:val="10"/>
    <w:qFormat/>
    <w:rPr>
      <w:rFonts w:asciiTheme="majorHAnsi" w:eastAsia="宋体" w:hAnsiTheme="majorHAnsi" w:cstheme="majorBidi"/>
      <w:b/>
      <w:bCs/>
      <w:sz w:val="32"/>
      <w:szCs w:val="32"/>
    </w:rPr>
  </w:style>
  <w:style w:type="character" w:customStyle="1" w:styleId="a7">
    <w:name w:val="正文文本 字符"/>
    <w:basedOn w:val="a0"/>
    <w:link w:val="a6"/>
    <w:uiPriority w:val="1"/>
    <w:qFormat/>
    <w:rPr>
      <w:rFonts w:ascii="宋体" w:eastAsia="宋体" w:hAnsi="宋体" w:cs="宋体"/>
      <w:kern w:val="0"/>
      <w:sz w:val="32"/>
      <w:szCs w:val="32"/>
      <w:lang w:eastAsia="en-US"/>
    </w:rPr>
  </w:style>
  <w:style w:type="paragraph" w:styleId="af8">
    <w:name w:val="Revision"/>
    <w:hidden/>
    <w:uiPriority w:val="99"/>
    <w:semiHidden/>
    <w:rsid w:val="00C22449"/>
    <w:rPr>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2014-02-18T00:00:00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16</Pages>
  <Words>1708</Words>
  <Characters>9741</Characters>
  <Application>Microsoft Office Word</Application>
  <DocSecurity>0</DocSecurity>
  <Lines>81</Lines>
  <Paragraphs>22</Paragraphs>
  <ScaleCrop>false</ScaleCrop>
  <Company>http://www.deepbbs.org</Company>
  <LinksUpToDate>false</LinksUpToDate>
  <CharactersWithSpaces>11427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认可程序说明和背景介绍</dc:title>
  <dc:creator>deeplm</dc:creator>
  <cp:lastModifiedBy>storm ggl</cp:lastModifiedBy>
  <cp:revision>21</cp:revision>
  <cp:lastPrinted>2014-03-17T03:12:00Z</cp:lastPrinted>
  <dcterms:created xsi:type="dcterms:W3CDTF">2026-02-12T00:30:00Z</dcterms:created>
  <dcterms:modified xsi:type="dcterms:W3CDTF">2026-02-12T02:06:00Z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eyJoZGlkIjoiYTViNzA2ODNmNWM3MzJiZDU4ZDRlOWFiOWIzNjNjOTYiLCJ1c2VySWQiOiI0NzgzNzM2NTIifQ==</vt:lpwstr>
  </property>
  <property fmtid="{D5CDD505-2E9C-101B-9397-08002B2CF9AE}" pid="3" name="KSOProductBuildVer">
    <vt:lpwstr>2052-12.1.0.25225</vt:lpwstr>
  </property>
  <property fmtid="{D5CDD505-2E9C-101B-9397-08002B2CF9AE}" pid="4" name="ICV">
    <vt:lpwstr>0AD4B1A0CE38444FB16A188F4A961319_12</vt:lpwstr>
  </property>
</Properties>
</file>